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B776" w14:textId="77777777" w:rsidR="00DF13B1" w:rsidRDefault="00714F4B">
      <w:pPr>
        <w:pStyle w:val="affffff9"/>
        <w:framePr w:wrap="around"/>
      </w:pPr>
      <w:r>
        <w:rPr>
          <w:rFonts w:ascii="Times New Roman"/>
        </w:rPr>
        <w:t>ICS</w:t>
      </w:r>
      <w:r>
        <w:rPr>
          <w:rFonts w:hAnsi="黑体"/>
        </w:rPr>
        <w:t> </w:t>
      </w:r>
      <w:r>
        <w:t>55.180</w:t>
      </w:r>
    </w:p>
    <w:p w14:paraId="2157B777" w14:textId="77777777" w:rsidR="00DF13B1" w:rsidRDefault="00714F4B">
      <w:pPr>
        <w:pStyle w:val="affffff9"/>
        <w:framePr w:wrap="around"/>
      </w:pPr>
      <w:r>
        <w:rPr>
          <w:rFonts w:hint="eastAsia"/>
        </w:rPr>
        <w:t>CCS A80</w:t>
      </w:r>
    </w:p>
    <w:tbl>
      <w:tblPr>
        <w:tblStyle w:val="afff5"/>
        <w:tblW w:w="9854" w:type="dxa"/>
        <w:tblLayout w:type="fixed"/>
        <w:tblLook w:val="04A0" w:firstRow="1" w:lastRow="0" w:firstColumn="1" w:lastColumn="0" w:noHBand="0" w:noVBand="1"/>
      </w:tblPr>
      <w:tblGrid>
        <w:gridCol w:w="9854"/>
      </w:tblGrid>
      <w:tr w:rsidR="00DF13B1" w14:paraId="2157B779" w14:textId="77777777">
        <w:tc>
          <w:tcPr>
            <w:tcW w:w="9854" w:type="dxa"/>
            <w:tcBorders>
              <w:top w:val="nil"/>
              <w:left w:val="nil"/>
              <w:bottom w:val="nil"/>
              <w:right w:val="nil"/>
            </w:tcBorders>
            <w:shd w:val="clear" w:color="auto" w:fill="auto"/>
          </w:tcPr>
          <w:p w14:paraId="2157B778" w14:textId="77777777" w:rsidR="00DF13B1" w:rsidRDefault="00714F4B">
            <w:pPr>
              <w:pStyle w:val="affffff9"/>
              <w:framePr w:wrap="around"/>
            </w:pPr>
            <w:r>
              <w:rPr>
                <w:noProof/>
              </w:rPr>
              <mc:AlternateContent>
                <mc:Choice Requires="wps">
                  <w:drawing>
                    <wp:anchor distT="0" distB="0" distL="114300" distR="114300" simplePos="0" relativeHeight="251661312" behindDoc="1" locked="0" layoutInCell="1" allowOverlap="1" wp14:anchorId="2157B86E" wp14:editId="2157B86F">
                      <wp:simplePos x="0" y="0"/>
                      <wp:positionH relativeFrom="column">
                        <wp:posOffset>-66675</wp:posOffset>
                      </wp:positionH>
                      <wp:positionV relativeFrom="paragraph">
                        <wp:posOffset>0</wp:posOffset>
                      </wp:positionV>
                      <wp:extent cx="866775" cy="198120"/>
                      <wp:effectExtent l="0" t="3810" r="4445"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2157B884" w14:textId="77777777" w:rsidR="00DF13B1" w:rsidRDefault="00DF13B1">
                                  <w:pPr>
                                    <w:jc w:val="center"/>
                                  </w:pPr>
                                </w:p>
                              </w:txbxContent>
                            </wps:txbx>
                            <wps:bodyPr rot="0" vert="horz" wrap="square" lIns="91440" tIns="45720" rIns="91440" bIns="45720" anchor="t" anchorCtr="0" upright="1">
                              <a:noAutofit/>
                            </wps:bodyPr>
                          </wps:wsp>
                        </a:graphicData>
                      </a:graphic>
                    </wp:anchor>
                  </w:drawing>
                </mc:Choice>
                <mc:Fallback>
                  <w:pict>
                    <v:rect w14:anchorId="2157B86E"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2157B884" w14:textId="77777777" w:rsidR="00DF13B1" w:rsidRDefault="00DF13B1">
                            <w:pPr>
                              <w:jc w:val="center"/>
                            </w:pPr>
                          </w:p>
                        </w:txbxContent>
                      </v:textbox>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14:paraId="2157B77A" w14:textId="77777777" w:rsidR="00DF13B1" w:rsidRDefault="00714F4B">
      <w:pPr>
        <w:pStyle w:val="afffffd"/>
        <w:framePr w:wrap="around"/>
      </w:pPr>
      <w:r>
        <w:rPr>
          <w:rFonts w:hint="eastAsia"/>
        </w:rPr>
        <w:t>wb</w:t>
      </w:r>
    </w:p>
    <w:p w14:paraId="2157B77B" w14:textId="77777777" w:rsidR="00DF13B1" w:rsidRDefault="00714F4B">
      <w:pPr>
        <w:pStyle w:val="afffffe"/>
        <w:framePr w:wrap="around"/>
      </w:pPr>
      <w:r>
        <w:t>中华人民共和国</w:t>
      </w:r>
      <w:r>
        <w:fldChar w:fldCharType="begin">
          <w:ffData>
            <w:name w:val="c2"/>
            <w:enabled/>
            <w:calcOnExit w:val="0"/>
            <w:entryMacro w:val="showhelp11"/>
            <w:textInput/>
          </w:ffData>
        </w:fldChar>
      </w:r>
      <w:bookmarkStart w:id="1" w:name="c2"/>
      <w:r>
        <w:instrText xml:space="preserve"> FORMTEXT </w:instrText>
      </w:r>
      <w:r>
        <w:fldChar w:fldCharType="separate"/>
      </w:r>
      <w:r>
        <w:t>物</w:t>
      </w:r>
      <w:r>
        <w:rPr>
          <w:rFonts w:hint="eastAsia"/>
        </w:rPr>
        <w:t>流</w:t>
      </w:r>
      <w:r>
        <w:fldChar w:fldCharType="end"/>
      </w:r>
      <w:bookmarkEnd w:id="1"/>
      <w:r>
        <w:t>行业标准</w:t>
      </w:r>
    </w:p>
    <w:p w14:paraId="2157B77C" w14:textId="77777777" w:rsidR="00DF13B1" w:rsidRDefault="00714F4B">
      <w:pPr>
        <w:pStyle w:val="21"/>
        <w:framePr w:wrap="around"/>
        <w:rPr>
          <w:rFonts w:hAnsi="黑体"/>
        </w:rPr>
      </w:pPr>
      <w:r>
        <w:rPr>
          <w:rFonts w:ascii="Times New Roman"/>
        </w:rPr>
        <w:fldChar w:fldCharType="begin">
          <w:ffData>
            <w:name w:val="StdNo0"/>
            <w:enabled/>
            <w:calcOnExit w:val="0"/>
            <w:textInput>
              <w:default w:val="××/T"/>
              <w:maxLength w:val="4"/>
            </w:textInput>
          </w:ffData>
        </w:fldChar>
      </w:r>
      <w:bookmarkStart w:id="2" w:name="StdNo0"/>
      <w:r>
        <w:rPr>
          <w:rFonts w:ascii="Times New Roman"/>
        </w:rPr>
        <w:instrText xml:space="preserve"> FORMTEXT </w:instrText>
      </w:r>
      <w:r>
        <w:rPr>
          <w:rFonts w:ascii="Times New Roman"/>
        </w:rPr>
      </w:r>
      <w:r>
        <w:rPr>
          <w:rFonts w:ascii="Times New Roman"/>
        </w:rPr>
        <w:fldChar w:fldCharType="separate"/>
      </w:r>
      <w:r>
        <w:rPr>
          <w:rFonts w:ascii="Times New Roman" w:hint="eastAsia"/>
        </w:rPr>
        <w:t>WB</w:t>
      </w:r>
      <w:r>
        <w:rPr>
          <w:rFonts w:ascii="Times New Roman"/>
        </w:rPr>
        <w:t>/T</w:t>
      </w:r>
      <w:r>
        <w:rPr>
          <w:rFonts w:ascii="Times New Roman"/>
        </w:rPr>
        <w:fldChar w:fldCharType="end"/>
      </w:r>
      <w:bookmarkEnd w:id="2"/>
      <w:r>
        <w:rPr>
          <w:rFonts w:ascii="Times New Roman"/>
        </w:rPr>
        <w:t xml:space="preserve"> </w:t>
      </w:r>
      <w:r>
        <w:rPr>
          <w:rFonts w:hAnsi="黑体"/>
        </w:rPr>
        <w:fldChar w:fldCharType="begin">
          <w:ffData>
            <w:name w:val="StdNo1"/>
            <w:enabled/>
            <w:calcOnExit w:val="0"/>
            <w:textInput>
              <w:default w:val="×××××"/>
            </w:textInput>
          </w:ffData>
        </w:fldChar>
      </w:r>
      <w:bookmarkStart w:id="3"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3"/>
      <w:r>
        <w:rPr>
          <w:rFonts w:hAnsi="黑体"/>
        </w:rPr>
        <w:t>—</w:t>
      </w:r>
      <w:r>
        <w:rPr>
          <w:rFonts w:hAnsi="黑体"/>
        </w:rPr>
        <w:fldChar w:fldCharType="begin">
          <w:ffData>
            <w:name w:val="StdNo2"/>
            <w:enabled/>
            <w:calcOnExit w:val="0"/>
            <w:textInput>
              <w:default w:val="××××"/>
            </w:textInput>
          </w:ffData>
        </w:fldChar>
      </w:r>
      <w:bookmarkStart w:id="4"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4"/>
    </w:p>
    <w:tbl>
      <w:tblPr>
        <w:tblStyle w:val="afff5"/>
        <w:tblW w:w="9356" w:type="dxa"/>
        <w:tblLayout w:type="fixed"/>
        <w:tblLook w:val="04A0" w:firstRow="1" w:lastRow="0" w:firstColumn="1" w:lastColumn="0" w:noHBand="0" w:noVBand="1"/>
      </w:tblPr>
      <w:tblGrid>
        <w:gridCol w:w="9356"/>
      </w:tblGrid>
      <w:tr w:rsidR="00DF13B1" w14:paraId="2157B77E" w14:textId="77777777">
        <w:tc>
          <w:tcPr>
            <w:tcW w:w="9356" w:type="dxa"/>
            <w:tcBorders>
              <w:top w:val="nil"/>
              <w:left w:val="nil"/>
              <w:bottom w:val="nil"/>
              <w:right w:val="nil"/>
            </w:tcBorders>
            <w:shd w:val="clear" w:color="auto" w:fill="auto"/>
          </w:tcPr>
          <w:p w14:paraId="2157B77D" w14:textId="77777777" w:rsidR="00DF13B1" w:rsidRDefault="00714F4B">
            <w:pPr>
              <w:pStyle w:val="affffb"/>
              <w:framePr w:wrap="around"/>
            </w:pPr>
            <w:r>
              <w:rPr>
                <w:noProof/>
              </w:rPr>
              <mc:AlternateContent>
                <mc:Choice Requires="wps">
                  <w:drawing>
                    <wp:anchor distT="0" distB="0" distL="114300" distR="114300" simplePos="0" relativeHeight="251660288" behindDoc="1" locked="0" layoutInCell="1" allowOverlap="1" wp14:anchorId="2157B870" wp14:editId="2157B87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157B885" w14:textId="77777777" w:rsidR="00DF13B1" w:rsidRDefault="00DF13B1">
                                  <w:pPr>
                                    <w:jc w:val="center"/>
                                  </w:pPr>
                                </w:p>
                              </w:txbxContent>
                            </wps:txbx>
                            <wps:bodyPr rot="0" vert="horz" wrap="square" lIns="91440" tIns="45720" rIns="91440" bIns="45720" anchor="t" anchorCtr="0" upright="1">
                              <a:noAutofit/>
                            </wps:bodyPr>
                          </wps:wsp>
                        </a:graphicData>
                      </a:graphic>
                    </wp:anchor>
                  </w:drawing>
                </mc:Choice>
                <mc:Fallback>
                  <w:pict>
                    <v:rect w14:anchorId="2157B870" id="DT" o:spid="_x0000_s1027"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CUq4eV/AEAAOQDAAAOAAAAAAAAAAAAAAAA&#10;AC4CAABkcnMvZTJvRG9jLnhtbFBLAQItABQABgAIAAAAIQDMue643QAAAAgBAAAPAAAAAAAAAAAA&#10;AAAAAFYEAABkcnMvZG93bnJldi54bWxQSwUGAAAAAAQABADzAAAAYAUAAAAA&#10;" stroked="f">
                      <v:textbox>
                        <w:txbxContent>
                          <w:p w14:paraId="2157B885" w14:textId="77777777" w:rsidR="00DF13B1" w:rsidRDefault="00DF13B1">
                            <w:pPr>
                              <w:jc w:val="center"/>
                            </w:pPr>
                          </w:p>
                        </w:txbxContent>
                      </v:textbox>
                    </v:rect>
                  </w:pict>
                </mc:Fallback>
              </mc:AlternateContent>
            </w:r>
            <w:r>
              <w:fldChar w:fldCharType="begin">
                <w:ffData>
                  <w:name w:val="DT"/>
                  <w:enabled/>
                  <w:calcOnExit w:val="0"/>
                  <w:entryMacro w:val="ShowHelp4"/>
                  <w:textInput/>
                </w:ffData>
              </w:fldChar>
            </w:r>
            <w:bookmarkStart w:id="5" w:name="DT"/>
            <w:r>
              <w:instrText xml:space="preserve"> FORMTEXT </w:instrText>
            </w:r>
            <w:r>
              <w:fldChar w:fldCharType="separate"/>
            </w:r>
            <w:r>
              <w:t>     </w:t>
            </w:r>
            <w:r>
              <w:fldChar w:fldCharType="end"/>
            </w:r>
            <w:bookmarkEnd w:id="5"/>
          </w:p>
        </w:tc>
      </w:tr>
    </w:tbl>
    <w:p w14:paraId="2157B77F" w14:textId="77777777" w:rsidR="00DF13B1" w:rsidRDefault="00DF13B1">
      <w:pPr>
        <w:pStyle w:val="21"/>
        <w:framePr w:wrap="around"/>
        <w:rPr>
          <w:rFonts w:hAnsi="黑体"/>
        </w:rPr>
      </w:pPr>
    </w:p>
    <w:p w14:paraId="2157B780" w14:textId="77777777" w:rsidR="00DF13B1" w:rsidRDefault="00DF13B1">
      <w:pPr>
        <w:pStyle w:val="21"/>
        <w:framePr w:wrap="around"/>
        <w:rPr>
          <w:rFonts w:hAnsi="黑体"/>
        </w:rPr>
      </w:pPr>
    </w:p>
    <w:p w14:paraId="2157B781" w14:textId="77777777" w:rsidR="00DF13B1" w:rsidRDefault="00714F4B">
      <w:pPr>
        <w:pStyle w:val="affffc"/>
        <w:framePr w:wrap="around"/>
      </w:pPr>
      <w:r>
        <w:fldChar w:fldCharType="begin">
          <w:ffData>
            <w:name w:val="StdName"/>
            <w:enabled/>
            <w:calcOnExit w:val="0"/>
            <w:textInput>
              <w:default w:val="点击此处添加标准名称"/>
            </w:textInput>
          </w:ffData>
        </w:fldChar>
      </w:r>
      <w:bookmarkStart w:id="6" w:name="StdName"/>
      <w:r>
        <w:instrText xml:space="preserve"> FORMTEXT </w:instrText>
      </w:r>
      <w:r>
        <w:fldChar w:fldCharType="separate"/>
      </w:r>
      <w:r>
        <w:rPr>
          <w:rFonts w:hint="eastAsia"/>
        </w:rPr>
        <w:t>煤炭内河水运物流服务通用规范</w:t>
      </w:r>
      <w:r>
        <w:fldChar w:fldCharType="end"/>
      </w:r>
      <w:bookmarkEnd w:id="6"/>
    </w:p>
    <w:p w14:paraId="2157B782" w14:textId="77777777" w:rsidR="00DF13B1" w:rsidRDefault="00714F4B">
      <w:pPr>
        <w:pStyle w:val="affffd"/>
        <w:framePr w:wrap="around"/>
      </w:pPr>
      <w:r>
        <w:fldChar w:fldCharType="begin">
          <w:ffData>
            <w:name w:val="StdEnglishName"/>
            <w:enabled/>
            <w:calcOnExit w:val="0"/>
            <w:textInput>
              <w:default w:val="点击此处添加标准英文译名"/>
            </w:textInput>
          </w:ffData>
        </w:fldChar>
      </w:r>
      <w:bookmarkStart w:id="7" w:name="StdEnglishName"/>
      <w:r>
        <w:instrText xml:space="preserve"> FORMTEXT </w:instrText>
      </w:r>
      <w:r>
        <w:fldChar w:fldCharType="separate"/>
      </w:r>
      <w:r>
        <w:t>G</w:t>
      </w:r>
      <w:r>
        <w:rPr>
          <w:rFonts w:hint="eastAsia"/>
        </w:rPr>
        <w:t>eneral specification for inland river water</w:t>
      </w:r>
      <w:r>
        <w:t xml:space="preserve"> </w:t>
      </w:r>
      <w:r>
        <w:rPr>
          <w:rFonts w:hint="eastAsia"/>
        </w:rPr>
        <w:t>transport</w:t>
      </w:r>
      <w:r>
        <w:t xml:space="preserve"> </w:t>
      </w:r>
      <w:r>
        <w:rPr>
          <w:rFonts w:hint="eastAsia"/>
        </w:rPr>
        <w:t>logistics service of coal</w:t>
      </w:r>
      <w:r>
        <w:fldChar w:fldCharType="end"/>
      </w:r>
      <w:bookmarkEnd w:id="7"/>
    </w:p>
    <w:p w14:paraId="2157B783" w14:textId="77777777" w:rsidR="00DF13B1" w:rsidRDefault="00DF13B1">
      <w:pPr>
        <w:pStyle w:val="affffe"/>
        <w:framePr w:wrap="around"/>
      </w:pPr>
    </w:p>
    <w:tbl>
      <w:tblPr>
        <w:tblStyle w:val="afff5"/>
        <w:tblW w:w="9855" w:type="dxa"/>
        <w:tblLayout w:type="fixed"/>
        <w:tblLook w:val="04A0" w:firstRow="1" w:lastRow="0" w:firstColumn="1" w:lastColumn="0" w:noHBand="0" w:noVBand="1"/>
      </w:tblPr>
      <w:tblGrid>
        <w:gridCol w:w="9855"/>
      </w:tblGrid>
      <w:tr w:rsidR="00DF13B1" w14:paraId="2157B786" w14:textId="77777777">
        <w:tc>
          <w:tcPr>
            <w:tcW w:w="9855" w:type="dxa"/>
            <w:tcBorders>
              <w:top w:val="nil"/>
              <w:left w:val="nil"/>
              <w:bottom w:val="nil"/>
              <w:right w:val="nil"/>
            </w:tcBorders>
            <w:shd w:val="clear" w:color="auto" w:fill="auto"/>
          </w:tcPr>
          <w:p w14:paraId="2157B784" w14:textId="77777777" w:rsidR="00DF13B1" w:rsidRDefault="00714F4B">
            <w:pPr>
              <w:pStyle w:val="afffff"/>
              <w:framePr w:wrap="around"/>
            </w:pPr>
            <w:r>
              <w:rPr>
                <w:noProof/>
              </w:rPr>
              <mc:AlternateContent>
                <mc:Choice Requires="wps">
                  <w:drawing>
                    <wp:anchor distT="0" distB="0" distL="114300" distR="114300" simplePos="0" relativeHeight="251658240" behindDoc="1" locked="1" layoutInCell="1" allowOverlap="1" wp14:anchorId="2157B872" wp14:editId="2157B873">
                      <wp:simplePos x="0" y="0"/>
                      <wp:positionH relativeFrom="column">
                        <wp:posOffset>2200910</wp:posOffset>
                      </wp:positionH>
                      <wp:positionV relativeFrom="paragraph">
                        <wp:posOffset>573405</wp:posOffset>
                      </wp:positionV>
                      <wp:extent cx="1905000" cy="254000"/>
                      <wp:effectExtent l="0" t="0" r="3175" b="3175"/>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2157B886" w14:textId="77777777" w:rsidR="00DF13B1" w:rsidRDefault="00DF13B1">
                                  <w:pPr>
                                    <w:jc w:val="center"/>
                                  </w:pPr>
                                </w:p>
                              </w:txbxContent>
                            </wps:txbx>
                            <wps:bodyPr rot="0" vert="horz" wrap="square" lIns="91440" tIns="45720" rIns="91440" bIns="45720" anchor="t" anchorCtr="0" upright="1">
                              <a:noAutofit/>
                            </wps:bodyPr>
                          </wps:wsp>
                        </a:graphicData>
                      </a:graphic>
                    </wp:anchor>
                  </w:drawing>
                </mc:Choice>
                <mc:Fallback>
                  <w:pict>
                    <v:rect w14:anchorId="2157B872" id="RQ" o:spid="_x0000_s1028" style="position:absolute;left:0;text-align:left;margin-left:173.3pt;margin-top:45.15pt;width:150pt;height:2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J8IhNT8AQAA5AMAAA4AAAAAAAAAAAAAAAAA&#10;LgIAAGRycy9lMm9Eb2MueG1sUEsBAi0AFAAGAAgAAAAhAPQ3r97cAAAACgEAAA8AAAAAAAAAAAAA&#10;AAAAVgQAAGRycy9kb3ducmV2LnhtbFBLBQYAAAAABAAEAPMAAABfBQAAAAA=&#10;" stroked="f">
                      <v:textbox>
                        <w:txbxContent>
                          <w:p w14:paraId="2157B886" w14:textId="77777777" w:rsidR="00DF13B1" w:rsidRDefault="00DF13B1">
                            <w:pPr>
                              <w:jc w:val="center"/>
                            </w:pPr>
                          </w:p>
                        </w:txbxContent>
                      </v:textbox>
                      <w10:anchorlock/>
                    </v:rect>
                  </w:pict>
                </mc:Fallback>
              </mc:AlternateContent>
            </w:r>
            <w:r>
              <w:rPr>
                <w:noProof/>
              </w:rPr>
              <mc:AlternateContent>
                <mc:Choice Requires="wps">
                  <w:drawing>
                    <wp:anchor distT="0" distB="0" distL="114300" distR="114300" simplePos="0" relativeHeight="251654144" behindDoc="1" locked="0" layoutInCell="1" allowOverlap="1" wp14:anchorId="2157B874" wp14:editId="2157B875">
                      <wp:simplePos x="0" y="0"/>
                      <wp:positionH relativeFrom="column">
                        <wp:posOffset>2454910</wp:posOffset>
                      </wp:positionH>
                      <wp:positionV relativeFrom="paragraph">
                        <wp:posOffset>255905</wp:posOffset>
                      </wp:positionV>
                      <wp:extent cx="1270000" cy="304800"/>
                      <wp:effectExtent l="3175" t="0" r="3175" b="317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157B887" w14:textId="77777777" w:rsidR="00DF13B1" w:rsidRDefault="00DF13B1">
                                  <w:pPr>
                                    <w:jc w:val="center"/>
                                  </w:pPr>
                                </w:p>
                              </w:txbxContent>
                            </wps:txbx>
                            <wps:bodyPr rot="0" vert="horz" wrap="square" lIns="91440" tIns="45720" rIns="91440" bIns="45720" anchor="t" anchorCtr="0" upright="1">
                              <a:noAutofit/>
                            </wps:bodyPr>
                          </wps:wsp>
                        </a:graphicData>
                      </a:graphic>
                    </wp:anchor>
                  </w:drawing>
                </mc:Choice>
                <mc:Fallback>
                  <w:pict>
                    <v:rect w14:anchorId="2157B874" id="LB" o:spid="_x0000_s1029" style="position:absolute;left:0;text-align:left;margin-left:193.3pt;margin-top:20.15pt;width:100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" stroked="f">
                      <v:textbox>
                        <w:txbxContent>
                          <w:p w14:paraId="2157B887" w14:textId="77777777" w:rsidR="00DF13B1" w:rsidRDefault="00DF13B1">
                            <w:pPr>
                              <w:jc w:val="center"/>
                            </w:pPr>
                          </w:p>
                        </w:txbxContent>
                      </v:textbox>
                    </v:rect>
                  </w:pict>
                </mc:Fallback>
              </mc:AlternateContent>
            </w:r>
            <w:r>
              <w:t>（</w:t>
            </w:r>
            <w:r>
              <w:rPr>
                <w:rFonts w:hint="eastAsia"/>
              </w:rPr>
              <w:t>征求意见稿）</w:t>
            </w:r>
          </w:p>
          <w:p w14:paraId="2157B785" w14:textId="77777777" w:rsidR="00DF13B1" w:rsidRDefault="00714F4B">
            <w:pPr>
              <w:pStyle w:val="afffff"/>
              <w:framePr w:wrap="around"/>
            </w:pPr>
            <w:r>
              <w:rPr>
                <w:rFonts w:hint="eastAsia"/>
              </w:rPr>
              <w:t>（本稿完成日期：2021年3月</w:t>
            </w:r>
            <w:r>
              <w:t>4</w:t>
            </w:r>
            <w:r>
              <w:rPr>
                <w:rFonts w:hint="eastAsia"/>
              </w:rPr>
              <w:t>日）</w:t>
            </w:r>
          </w:p>
        </w:tc>
      </w:tr>
      <w:tr w:rsidR="00DF13B1" w14:paraId="2157B788" w14:textId="77777777">
        <w:tc>
          <w:tcPr>
            <w:tcW w:w="9855" w:type="dxa"/>
            <w:tcBorders>
              <w:top w:val="nil"/>
              <w:left w:val="nil"/>
              <w:bottom w:val="nil"/>
              <w:right w:val="nil"/>
            </w:tcBorders>
            <w:shd w:val="clear" w:color="auto" w:fill="auto"/>
          </w:tcPr>
          <w:p w14:paraId="2157B787" w14:textId="77777777" w:rsidR="00DF13B1" w:rsidRDefault="00DF13B1">
            <w:pPr>
              <w:pStyle w:val="afffff0"/>
              <w:framePr w:wrap="around"/>
            </w:pPr>
          </w:p>
        </w:tc>
      </w:tr>
    </w:tbl>
    <w:p w14:paraId="2157B789" w14:textId="77777777" w:rsidR="00DF13B1" w:rsidRDefault="00714F4B">
      <w:pPr>
        <w:pStyle w:val="affffffe"/>
        <w:framePr w:wrap="around"/>
      </w:pPr>
      <w:r>
        <w:rPr>
          <w:rFonts w:ascii="黑体"/>
          <w:noProof/>
        </w:rPr>
        <mc:AlternateContent>
          <mc:Choice Requires="wps">
            <w:drawing>
              <wp:anchor distT="0" distB="0" distL="114300" distR="114300" simplePos="0" relativeHeight="251657216" behindDoc="0" locked="0" layoutInCell="1" allowOverlap="1" wp14:anchorId="2157B876" wp14:editId="2157B877">
                <wp:simplePos x="0" y="0"/>
                <wp:positionH relativeFrom="column">
                  <wp:posOffset>-635</wp:posOffset>
                </wp:positionH>
                <wp:positionV relativeFrom="paragraph">
                  <wp:posOffset>300990</wp:posOffset>
                </wp:positionV>
                <wp:extent cx="6120130" cy="0"/>
                <wp:effectExtent l="13970"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43B9060" id="Line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"/>
            </w:pict>
          </mc:Fallback>
        </mc:AlternateContent>
      </w:r>
      <w:r>
        <w:rPr>
          <w:rFonts w:ascii="黑体"/>
        </w:rPr>
        <w:fldChar w:fldCharType="begin">
          <w:ffData>
            <w:name w:val="FY"/>
            <w:enabled/>
            <w:calcOnExit w:val="0"/>
            <w:entryMacro w:val="ShowHelp8"/>
            <w:textInput>
              <w:default w:val="××××"/>
              <w:maxLength w:val="4"/>
            </w:textInput>
          </w:ffData>
        </w:fldChar>
      </w:r>
      <w:bookmarkStart w:id="8"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9"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9"/>
      <w:r>
        <w:rPr>
          <w:rFonts w:hint="eastAsia"/>
        </w:rPr>
        <w:t>发布</w:t>
      </w:r>
      <w:r>
        <w:rPr>
          <w:noProof/>
        </w:rPr>
        <mc:AlternateContent>
          <mc:Choice Requires="wps">
            <w:drawing>
              <wp:anchor distT="0" distB="0" distL="114300" distR="114300" simplePos="0" relativeHeight="251656192" behindDoc="0" locked="0" layoutInCell="1" allowOverlap="1" wp14:anchorId="2157B878" wp14:editId="2157B879">
                <wp:simplePos x="0" y="0"/>
                <wp:positionH relativeFrom="column">
                  <wp:posOffset>-635</wp:posOffset>
                </wp:positionH>
                <wp:positionV relativeFrom="paragraph">
                  <wp:posOffset>-6250940</wp:posOffset>
                </wp:positionV>
                <wp:extent cx="6120130" cy="0"/>
                <wp:effectExtent l="13970"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C2B8986" id="Line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"/>
            </w:pict>
          </mc:Fallback>
        </mc:AlternateContent>
      </w:r>
      <w:r>
        <w:rPr>
          <w:noProof/>
        </w:rPr>
        <mc:AlternateContent>
          <mc:Choice Requires="wps">
            <w:drawing>
              <wp:anchor distT="0" distB="0" distL="114300" distR="114300" simplePos="0" relativeHeight="251655168" behindDoc="0" locked="0" layoutInCell="1" allowOverlap="1" wp14:anchorId="2157B87A" wp14:editId="2157B87B">
                <wp:simplePos x="0" y="0"/>
                <wp:positionH relativeFrom="column">
                  <wp:posOffset>-635</wp:posOffset>
                </wp:positionH>
                <wp:positionV relativeFrom="paragraph">
                  <wp:posOffset>300990</wp:posOffset>
                </wp:positionV>
                <wp:extent cx="6120130" cy="0"/>
                <wp:effectExtent l="13970"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0998E02D" id="Line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"/>
            </w:pict>
          </mc:Fallback>
        </mc:AlternateContent>
      </w:r>
    </w:p>
    <w:p w14:paraId="2157B78A" w14:textId="77777777" w:rsidR="00DF13B1" w:rsidRDefault="00714F4B">
      <w:pPr>
        <w:pStyle w:val="afffffff"/>
        <w:framePr w:wrap="around"/>
      </w:pPr>
      <w:r>
        <w:rPr>
          <w:rFonts w:ascii="黑体"/>
        </w:rPr>
        <w:fldChar w:fldCharType="begin">
          <w:ffData>
            <w:name w:val="SY"/>
            <w:enabled/>
            <w:calcOnExit w:val="0"/>
            <w:entryMacro w:val="ShowHelp9"/>
            <w:textInput>
              <w:default w:val="××××"/>
              <w:maxLength w:val="4"/>
            </w:textInput>
          </w:ffData>
        </w:fldChar>
      </w:r>
      <w:bookmarkStart w:id="10"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0"/>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1"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1"/>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2"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2"/>
      <w:r>
        <w:rPr>
          <w:rFonts w:hint="eastAsia"/>
        </w:rPr>
        <w:t>实施</w:t>
      </w:r>
    </w:p>
    <w:p w14:paraId="2157B78B" w14:textId="77777777" w:rsidR="00DF13B1" w:rsidRDefault="00714F4B">
      <w:pPr>
        <w:pStyle w:val="affffff"/>
        <w:framePr w:w="8546" w:wrap="around" w:x="1976"/>
        <w:jc w:val="both"/>
      </w:pPr>
      <w:r>
        <w:fldChar w:fldCharType="begin">
          <w:ffData>
            <w:name w:val="fm"/>
            <w:enabled/>
            <w:calcOnExit w:val="0"/>
            <w:textInput/>
          </w:ffData>
        </w:fldChar>
      </w:r>
      <w:bookmarkStart w:id="13" w:name="fm"/>
      <w:r>
        <w:instrText xml:space="preserve"> FORMTEXT </w:instrText>
      </w:r>
      <w:r>
        <w:fldChar w:fldCharType="separate"/>
      </w:r>
      <w:r>
        <w:t>中</w:t>
      </w:r>
      <w:r>
        <w:rPr>
          <w:rFonts w:hint="eastAsia"/>
        </w:rPr>
        <w:t>华人民共和国国家发展和改革委员会</w:t>
      </w:r>
      <w:r>
        <w:fldChar w:fldCharType="end"/>
      </w:r>
      <w:bookmarkEnd w:id="13"/>
      <w:r>
        <w:t xml:space="preserve"> </w:t>
      </w:r>
      <w:r>
        <w:rPr>
          <w:rStyle w:val="affff8"/>
        </w:rPr>
        <w:t xml:space="preserve"> </w:t>
      </w:r>
      <w:r>
        <w:rPr>
          <w:rStyle w:val="affff8"/>
          <w:rFonts w:hint="eastAsia"/>
        </w:rPr>
        <w:t>发布</w:t>
      </w:r>
    </w:p>
    <w:p w14:paraId="2157B78C" w14:textId="77777777" w:rsidR="00DF13B1" w:rsidRDefault="00714F4B">
      <w:pPr>
        <w:pStyle w:val="afff2"/>
        <w:sectPr w:rsidR="00DF13B1">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9264" behindDoc="0" locked="0" layoutInCell="1" allowOverlap="1" wp14:anchorId="2157B87C" wp14:editId="2157B87D">
                <wp:simplePos x="0" y="0"/>
                <wp:positionH relativeFrom="column">
                  <wp:posOffset>-635</wp:posOffset>
                </wp:positionH>
                <wp:positionV relativeFrom="paragraph">
                  <wp:posOffset>2339975</wp:posOffset>
                </wp:positionV>
                <wp:extent cx="6120130" cy="0"/>
                <wp:effectExtent l="13970"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6CA2AEF" id="Line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"/>
            </w:pict>
          </mc:Fallback>
        </mc:AlternateContent>
      </w:r>
    </w:p>
    <w:p w14:paraId="2157B78D" w14:textId="77777777" w:rsidR="00DF13B1" w:rsidRDefault="00714F4B">
      <w:pPr>
        <w:pStyle w:val="affffff0"/>
      </w:pPr>
      <w:r>
        <w:rPr>
          <w:rFonts w:hint="eastAsia"/>
        </w:rPr>
        <w:lastRenderedPageBreak/>
        <w:t>前</w:t>
      </w:r>
      <w:bookmarkStart w:id="14" w:name="BKQY"/>
      <w:r>
        <w:rPr>
          <w:rFonts w:hAnsi="黑体"/>
        </w:rPr>
        <w:t>  </w:t>
      </w:r>
      <w:r>
        <w:rPr>
          <w:rFonts w:hint="eastAsia"/>
        </w:rPr>
        <w:t>言</w:t>
      </w:r>
      <w:bookmarkEnd w:id="14"/>
    </w:p>
    <w:p w14:paraId="2157B78E" w14:textId="77777777" w:rsidR="00DF13B1" w:rsidRDefault="00DF13B1">
      <w:pPr>
        <w:pStyle w:val="afff2"/>
      </w:pPr>
    </w:p>
    <w:p w14:paraId="2157B78F" w14:textId="77777777" w:rsidR="00DF13B1" w:rsidRDefault="00714F4B">
      <w:pPr>
        <w:adjustRightInd w:val="0"/>
        <w:ind w:firstLine="420"/>
        <w:contextualSpacing/>
        <w:rPr>
          <w:kern w:val="0"/>
          <w:szCs w:val="21"/>
          <w:lang w:val="zh-TW"/>
        </w:rPr>
      </w:pPr>
      <w:r>
        <w:rPr>
          <w:kern w:val="0"/>
          <w:szCs w:val="21"/>
          <w:lang w:val="zh-TW"/>
        </w:rPr>
        <w:t>本</w:t>
      </w:r>
      <w:r>
        <w:rPr>
          <w:rFonts w:hint="eastAsia"/>
          <w:kern w:val="0"/>
          <w:szCs w:val="21"/>
          <w:lang w:val="zh-TW"/>
        </w:rPr>
        <w:t>文件</w:t>
      </w:r>
      <w:r>
        <w:rPr>
          <w:kern w:val="0"/>
          <w:szCs w:val="21"/>
          <w:lang w:val="zh-TW"/>
        </w:rPr>
        <w:t>按照</w:t>
      </w:r>
      <w:r>
        <w:rPr>
          <w:kern w:val="0"/>
          <w:szCs w:val="21"/>
          <w:lang w:val="zh-TW"/>
        </w:rPr>
        <w:t>GB/T 1.1</w:t>
      </w:r>
      <w:r>
        <w:rPr>
          <w:rFonts w:hint="eastAsia"/>
          <w:kern w:val="0"/>
          <w:szCs w:val="21"/>
        </w:rPr>
        <w:t>—</w:t>
      </w:r>
      <w:r>
        <w:rPr>
          <w:kern w:val="0"/>
          <w:szCs w:val="21"/>
          <w:lang w:val="zh-TW"/>
        </w:rPr>
        <w:t>2020</w:t>
      </w:r>
      <w:r>
        <w:rPr>
          <w:kern w:val="0"/>
          <w:szCs w:val="21"/>
          <w:lang w:val="zh-TW"/>
        </w:rPr>
        <w:t>《标准化工作导则</w:t>
      </w:r>
      <w:r>
        <w:rPr>
          <w:rFonts w:hint="eastAsia"/>
          <w:kern w:val="0"/>
          <w:szCs w:val="21"/>
        </w:rPr>
        <w:t xml:space="preserve">  </w:t>
      </w:r>
      <w:r>
        <w:rPr>
          <w:kern w:val="0"/>
          <w:szCs w:val="21"/>
          <w:lang w:val="zh-TW"/>
        </w:rPr>
        <w:t>第</w:t>
      </w:r>
      <w:r>
        <w:rPr>
          <w:kern w:val="0"/>
          <w:szCs w:val="21"/>
          <w:lang w:val="zh-TW"/>
        </w:rPr>
        <w:t>1</w:t>
      </w:r>
      <w:r>
        <w:rPr>
          <w:kern w:val="0"/>
          <w:szCs w:val="21"/>
          <w:lang w:val="zh-TW"/>
        </w:rPr>
        <w:t>部分：标准化文件的结构和起草规则》的规定起草。</w:t>
      </w:r>
    </w:p>
    <w:p w14:paraId="2157B790" w14:textId="77777777" w:rsidR="00DF13B1" w:rsidRDefault="00714F4B">
      <w:pPr>
        <w:adjustRightInd w:val="0"/>
        <w:ind w:firstLine="420"/>
        <w:contextualSpacing/>
        <w:rPr>
          <w:kern w:val="0"/>
          <w:szCs w:val="21"/>
          <w:lang w:val="zh-TW"/>
        </w:rPr>
      </w:pPr>
      <w:r>
        <w:rPr>
          <w:rFonts w:hint="eastAsia"/>
          <w:kern w:val="0"/>
          <w:szCs w:val="21"/>
          <w:lang w:val="zh-TW"/>
        </w:rPr>
        <w:t>请注意本文件的某些内容可能涉及专利。本文件的发布机构不承担识别专利的责任。</w:t>
      </w:r>
    </w:p>
    <w:p w14:paraId="2157B791" w14:textId="77777777" w:rsidR="00DF13B1" w:rsidRDefault="00714F4B">
      <w:pPr>
        <w:pStyle w:val="afff2"/>
        <w:rPr>
          <w:rFonts w:ascii="Times New Roman"/>
        </w:rPr>
      </w:pPr>
      <w:r>
        <w:rPr>
          <w:rFonts w:ascii="Times New Roman" w:hint="eastAsia"/>
        </w:rPr>
        <w:t>本文件由中国物流与采购联合会提出。</w:t>
      </w:r>
    </w:p>
    <w:p w14:paraId="2157B792" w14:textId="77777777" w:rsidR="00DF13B1" w:rsidRDefault="00714F4B">
      <w:pPr>
        <w:pStyle w:val="afff2"/>
        <w:rPr>
          <w:rFonts w:ascii="Times New Roman"/>
        </w:rPr>
      </w:pPr>
      <w:r>
        <w:rPr>
          <w:rFonts w:ascii="Times New Roman" w:hint="eastAsia"/>
        </w:rPr>
        <w:t>本文件由全国物流标准化技术委员会（</w:t>
      </w:r>
      <w:r>
        <w:rPr>
          <w:rFonts w:ascii="Times New Roman" w:hint="eastAsia"/>
        </w:rPr>
        <w:t>SAC/TC 269</w:t>
      </w:r>
      <w:r>
        <w:rPr>
          <w:rFonts w:ascii="Times New Roman" w:hint="eastAsia"/>
        </w:rPr>
        <w:t>）归口。</w:t>
      </w:r>
    </w:p>
    <w:p w14:paraId="2157B793" w14:textId="77777777" w:rsidR="00DF13B1" w:rsidRDefault="00714F4B">
      <w:pPr>
        <w:pStyle w:val="afff2"/>
        <w:rPr>
          <w:rFonts w:ascii="Times New Roman"/>
        </w:rPr>
      </w:pPr>
      <w:r>
        <w:rPr>
          <w:rFonts w:ascii="Times New Roman" w:hint="eastAsia"/>
        </w:rPr>
        <w:t>本文件起草单位：北京弘帆物流股份有限公司、中国石油化工集团有限公司、长航货运有限公司、南京港（集团）有限公司、中国神华能源股份有限公司、华润电力控股有限公司、中国中煤能源集团有限公司、武汉理工大学、长江航运发展研究中心、中国煤炭运销协会、安徽省航运商会。</w:t>
      </w:r>
    </w:p>
    <w:p w14:paraId="2157B794" w14:textId="77777777" w:rsidR="00DF13B1" w:rsidRDefault="00714F4B">
      <w:pPr>
        <w:pStyle w:val="afff2"/>
        <w:rPr>
          <w:rFonts w:ascii="Times New Roman"/>
        </w:rPr>
        <w:sectPr w:rsidR="00DF13B1">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r>
        <w:rPr>
          <w:rFonts w:ascii="Times New Roman" w:hint="eastAsia"/>
        </w:rPr>
        <w:t>本文件主要起草人：兰本军、朱新凤、童德龙、张培林、丁涛、周红梅、贺云飞、郝奥振、周珣、顾松、刘执毅、刘海嵩、吴晓宝、王亚荣、林位岗、吴兴龙、张忠奎、姚宏斌、徐欢、张小平、陈伦平、叶雅妮、谢婷、曾维琳、张乃宇、李勇、郁小辉、丁亮、徐严、赵刚、王明胜、欧阳帮贵、吴黄成、张隼、杨振翎、王勇、杨显峰、夏英伟。</w:t>
      </w:r>
    </w:p>
    <w:p w14:paraId="2157B795" w14:textId="77777777" w:rsidR="00DF13B1" w:rsidRDefault="00992D9D">
      <w:pPr>
        <w:pStyle w:val="afffe"/>
      </w:pPr>
      <w:sdt>
        <w:sdtPr>
          <w:rPr>
            <w:color w:val="000000" w:themeColor="text1"/>
          </w:rPr>
          <w:alias w:val="标准名称"/>
          <w:tag w:val="标准名称"/>
          <w:id w:val="1795105741"/>
          <w:lock w:val="sdtLocked"/>
          <w:placeholder>
            <w:docPart w:val="F098C56784FB4846BF4854397F6D65AC"/>
          </w:placeholder>
          <w:text w:multiLine="1"/>
        </w:sdtPr>
        <w:sdtEndPr/>
        <w:sdtContent>
          <w:r w:rsidR="00714F4B">
            <w:rPr>
              <w:rFonts w:hint="eastAsia"/>
              <w:color w:val="000000" w:themeColor="text1"/>
            </w:rPr>
            <w:t>煤炭内河水运物流服务通用规范</w:t>
          </w:r>
        </w:sdtContent>
      </w:sdt>
      <w:bookmarkStart w:id="15" w:name="StandardName"/>
      <w:bookmarkEnd w:id="15"/>
    </w:p>
    <w:p w14:paraId="2157B796" w14:textId="77777777" w:rsidR="00DF13B1" w:rsidRDefault="00714F4B">
      <w:pPr>
        <w:pStyle w:val="a1"/>
        <w:spacing w:before="312" w:after="312"/>
        <w:rPr>
          <w:rFonts w:hAnsi="黑体"/>
          <w:b/>
        </w:rPr>
      </w:pPr>
      <w:r>
        <w:rPr>
          <w:rFonts w:hAnsi="黑体" w:hint="eastAsia"/>
          <w:b/>
        </w:rPr>
        <w:t>范围</w:t>
      </w:r>
    </w:p>
    <w:p w14:paraId="2157B797" w14:textId="77777777" w:rsidR="00DF13B1" w:rsidRDefault="00714F4B">
      <w:pPr>
        <w:pStyle w:val="afff2"/>
      </w:pPr>
      <w:r>
        <w:rPr>
          <w:rFonts w:hint="eastAsia"/>
        </w:rPr>
        <w:t>本文件规定了煤炭内河水运物流服务的基本要求、作业要求、交接数量和质量要求、环保消防要求、物流信息服务及物流服务质量评价。</w:t>
      </w:r>
    </w:p>
    <w:p w14:paraId="2157B798" w14:textId="77777777" w:rsidR="00DF13B1" w:rsidRDefault="00714F4B">
      <w:pPr>
        <w:pStyle w:val="afff2"/>
      </w:pPr>
      <w:r>
        <w:rPr>
          <w:rFonts w:hint="eastAsia"/>
        </w:rPr>
        <w:t>本文件适用于煤炭在内河自装载港开始装载运输至卸载港卸载完毕的水运物流服务。</w:t>
      </w:r>
    </w:p>
    <w:p w14:paraId="2157B799" w14:textId="77777777" w:rsidR="00DF13B1" w:rsidRDefault="00714F4B">
      <w:pPr>
        <w:pStyle w:val="a1"/>
        <w:spacing w:before="312" w:after="312"/>
        <w:rPr>
          <w:rFonts w:hAnsi="黑体"/>
          <w:b/>
        </w:rPr>
      </w:pPr>
      <w:r>
        <w:rPr>
          <w:rFonts w:hAnsi="黑体" w:hint="eastAsia"/>
          <w:b/>
        </w:rPr>
        <w:t>规范性引用文件</w:t>
      </w:r>
    </w:p>
    <w:p w14:paraId="2157B79A" w14:textId="77777777" w:rsidR="00DF13B1" w:rsidRDefault="00714F4B">
      <w:pPr>
        <w:pStyle w:val="afff2"/>
        <w:adjustRightInd w:val="0"/>
        <w:spacing w:line="320" w:lineRule="exact"/>
        <w:ind w:firstLineChars="0"/>
        <w:contextualSpacing/>
        <w:rPr>
          <w:rFonts w:ascii="Times New Roman"/>
          <w:szCs w:val="22"/>
        </w:rPr>
      </w:pPr>
      <w:r>
        <w:rPr>
          <w:rFonts w:ascii="Times New Roman"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57B79B" w14:textId="77777777" w:rsidR="00DF13B1" w:rsidRDefault="00714F4B">
      <w:pPr>
        <w:pStyle w:val="afff2"/>
      </w:pPr>
      <w:r>
        <w:rPr>
          <w:rFonts w:hint="eastAsia"/>
        </w:rPr>
        <w:t>GB/T 8487 港口装卸术语</w:t>
      </w:r>
    </w:p>
    <w:p w14:paraId="2157B79C" w14:textId="77777777" w:rsidR="00DF13B1" w:rsidRDefault="00714F4B">
      <w:pPr>
        <w:pStyle w:val="afff2"/>
      </w:pPr>
      <w:r>
        <w:rPr>
          <w:rFonts w:hint="eastAsia"/>
        </w:rPr>
        <w:t>GB/T 18354 物流术语</w:t>
      </w:r>
    </w:p>
    <w:p w14:paraId="2157B79D" w14:textId="77777777" w:rsidR="00DF13B1" w:rsidRDefault="00714F4B">
      <w:pPr>
        <w:pStyle w:val="afff2"/>
      </w:pPr>
      <w:r>
        <w:rPr>
          <w:rFonts w:hint="eastAsia"/>
        </w:rPr>
        <w:t>GB 3552 船舶水污染物排放控制标准</w:t>
      </w:r>
    </w:p>
    <w:p w14:paraId="2157B79E" w14:textId="77777777" w:rsidR="00DF13B1" w:rsidRDefault="00DF13B1">
      <w:pPr>
        <w:pStyle w:val="afff2"/>
      </w:pPr>
    </w:p>
    <w:p w14:paraId="2157B79F" w14:textId="77777777" w:rsidR="00DF13B1" w:rsidRDefault="00714F4B">
      <w:pPr>
        <w:pStyle w:val="a1"/>
        <w:spacing w:before="312" w:after="312"/>
        <w:rPr>
          <w:rFonts w:hAnsi="黑体"/>
          <w:b/>
        </w:rPr>
      </w:pPr>
      <w:r>
        <w:rPr>
          <w:rFonts w:hAnsi="黑体"/>
          <w:b/>
        </w:rPr>
        <w:t>术语和定义</w:t>
      </w:r>
    </w:p>
    <w:p w14:paraId="2157B7A0" w14:textId="77777777" w:rsidR="00DF13B1" w:rsidRDefault="00714F4B">
      <w:pPr>
        <w:pStyle w:val="afff2"/>
        <w:rPr>
          <w:rFonts w:asciiTheme="minorEastAsia" w:eastAsiaTheme="minorEastAsia" w:hAnsiTheme="minorEastAsia"/>
        </w:rPr>
      </w:pPr>
      <w:r>
        <w:rPr>
          <w:rFonts w:asciiTheme="minorEastAsia" w:eastAsiaTheme="minorEastAsia" w:hAnsiTheme="minorEastAsia"/>
        </w:rPr>
        <w:t>GB/T 18354、GB/T 8487界定的</w:t>
      </w:r>
      <w:r>
        <w:rPr>
          <w:rFonts w:asciiTheme="minorEastAsia" w:eastAsiaTheme="minorEastAsia" w:hAnsiTheme="minorEastAsia" w:hint="eastAsia"/>
        </w:rPr>
        <w:t>以及下列术语和定义适用于本文件。</w:t>
      </w:r>
    </w:p>
    <w:p w14:paraId="2157B7A1" w14:textId="77777777" w:rsidR="00DF13B1" w:rsidRDefault="00DF13B1">
      <w:pPr>
        <w:pStyle w:val="a2"/>
        <w:spacing w:before="156" w:after="156"/>
        <w:rPr>
          <w:rFonts w:hAnsi="黑体"/>
        </w:rPr>
      </w:pPr>
    </w:p>
    <w:p w14:paraId="2157B7A2"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物流服务</w:t>
      </w:r>
      <w:r>
        <w:rPr>
          <w:rFonts w:hAnsi="黑体"/>
          <w:b/>
          <w:bCs/>
        </w:rPr>
        <w:t xml:space="preserve"> logistics service</w:t>
      </w:r>
    </w:p>
    <w:p w14:paraId="2157B7A3" w14:textId="77777777" w:rsidR="00DF13B1" w:rsidRDefault="00714F4B">
      <w:pPr>
        <w:pStyle w:val="afff2"/>
      </w:pPr>
      <w:r>
        <w:rPr>
          <w:rFonts w:hint="eastAsia"/>
        </w:rPr>
        <w:t>为满足客户要求所实施的一系列物流活动产生的结果。</w:t>
      </w:r>
    </w:p>
    <w:p w14:paraId="2157B7A4" w14:textId="77777777" w:rsidR="00DF13B1" w:rsidRDefault="00714F4B">
      <w:pPr>
        <w:pStyle w:val="afff2"/>
      </w:pPr>
      <w:r>
        <w:rPr>
          <w:rFonts w:hint="eastAsia"/>
        </w:rPr>
        <w:t>[来源：</w:t>
      </w:r>
      <w:r>
        <w:t>GB/T 18354-2006</w:t>
      </w:r>
      <w:r>
        <w:rPr>
          <w:rFonts w:hint="eastAsia"/>
        </w:rPr>
        <w:t>，3.7]</w:t>
      </w:r>
    </w:p>
    <w:p w14:paraId="2157B7A5" w14:textId="77777777" w:rsidR="00DF13B1" w:rsidRDefault="00DF13B1">
      <w:pPr>
        <w:pStyle w:val="a2"/>
        <w:spacing w:before="156" w:after="156"/>
        <w:rPr>
          <w:rFonts w:hAnsi="黑体"/>
        </w:rPr>
      </w:pPr>
    </w:p>
    <w:p w14:paraId="2157B7A6"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物流设备 logistics equipment</w:t>
      </w:r>
    </w:p>
    <w:p w14:paraId="2157B7A7" w14:textId="77777777" w:rsidR="00DF13B1" w:rsidRDefault="00DA0CD5">
      <w:pPr>
        <w:pStyle w:val="afff2"/>
      </w:pPr>
      <w:r w:rsidRPr="00DA0CD5">
        <w:rPr>
          <w:rFonts w:hint="eastAsia"/>
        </w:rPr>
        <w:t>物流活动所需的装备及器具的总称</w:t>
      </w:r>
      <w:r w:rsidR="00714F4B">
        <w:rPr>
          <w:rFonts w:hint="eastAsia"/>
        </w:rPr>
        <w:t>。</w:t>
      </w:r>
    </w:p>
    <w:p w14:paraId="2157B7A8" w14:textId="77777777" w:rsidR="00DF13B1" w:rsidRDefault="00DF13B1">
      <w:pPr>
        <w:pStyle w:val="a2"/>
        <w:spacing w:before="156" w:after="156"/>
        <w:rPr>
          <w:rFonts w:hAnsi="黑体"/>
        </w:rPr>
      </w:pPr>
    </w:p>
    <w:p w14:paraId="2157B7A9"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数量差异</w:t>
      </w:r>
      <w:r>
        <w:rPr>
          <w:rFonts w:hAnsi="黑体"/>
          <w:b/>
          <w:bCs/>
        </w:rPr>
        <w:t>quantity variance</w:t>
      </w:r>
    </w:p>
    <w:p w14:paraId="2157B7AA" w14:textId="77777777" w:rsidR="00DF13B1" w:rsidRDefault="00714F4B">
      <w:pPr>
        <w:pStyle w:val="afff2"/>
        <w:rPr>
          <w:rFonts w:asciiTheme="minorEastAsia" w:eastAsiaTheme="minorEastAsia" w:hAnsiTheme="minorEastAsia"/>
          <w:b/>
          <w:bCs/>
        </w:rPr>
      </w:pPr>
      <w:r>
        <w:rPr>
          <w:rFonts w:asciiTheme="minorEastAsia" w:eastAsiaTheme="minorEastAsia" w:hAnsiTheme="minorEastAsia" w:hint="eastAsia"/>
        </w:rPr>
        <w:t>煤炭装船吨位与交接吨位之间的差异。</w:t>
      </w:r>
    </w:p>
    <w:p w14:paraId="2157B7AB" w14:textId="77777777" w:rsidR="00DF13B1" w:rsidRDefault="00DF13B1">
      <w:pPr>
        <w:pStyle w:val="afff2"/>
      </w:pPr>
    </w:p>
    <w:p w14:paraId="2157B7AC" w14:textId="77777777" w:rsidR="00DF13B1" w:rsidRDefault="00DF13B1">
      <w:pPr>
        <w:pStyle w:val="a2"/>
        <w:spacing w:before="156" w:after="156"/>
        <w:rPr>
          <w:rFonts w:hAnsi="黑体"/>
        </w:rPr>
      </w:pPr>
    </w:p>
    <w:p w14:paraId="2157B7AD"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质量差异 quality variation</w:t>
      </w:r>
    </w:p>
    <w:p w14:paraId="2157B7AE" w14:textId="77777777" w:rsidR="00DF13B1" w:rsidRDefault="00714F4B">
      <w:pPr>
        <w:pStyle w:val="afff2"/>
        <w:rPr>
          <w:rFonts w:asciiTheme="minorEastAsia" w:eastAsiaTheme="minorEastAsia" w:hAnsiTheme="minorEastAsia"/>
        </w:rPr>
      </w:pPr>
      <w:r>
        <w:rPr>
          <w:rFonts w:asciiTheme="minorEastAsia" w:eastAsiaTheme="minorEastAsia" w:hAnsiTheme="minorEastAsia" w:hint="eastAsia"/>
        </w:rPr>
        <w:lastRenderedPageBreak/>
        <w:t>煤炭装船地点与交接地点煤炭质量指标的差异。</w:t>
      </w:r>
    </w:p>
    <w:p w14:paraId="2157B7AF" w14:textId="77777777" w:rsidR="00DF13B1" w:rsidRDefault="00714F4B">
      <w:pPr>
        <w:pStyle w:val="afff2"/>
        <w:ind w:firstLine="360"/>
        <w:rPr>
          <w:rFonts w:asciiTheme="minorEastAsia" w:eastAsiaTheme="minorEastAsia" w:hAnsiTheme="minorEastAsia"/>
          <w:b/>
          <w:bCs/>
          <w:sz w:val="18"/>
          <w:szCs w:val="18"/>
        </w:rPr>
      </w:pPr>
      <w:r>
        <w:rPr>
          <w:rFonts w:asciiTheme="minorEastAsia" w:eastAsiaTheme="minorEastAsia" w:hAnsiTheme="minorEastAsia" w:hint="eastAsia"/>
          <w:sz w:val="18"/>
          <w:szCs w:val="18"/>
        </w:rPr>
        <w:t>注：本文件只采用发热量指标来表达质量差异。</w:t>
      </w:r>
    </w:p>
    <w:p w14:paraId="2157B7B0" w14:textId="77777777" w:rsidR="00DF13B1" w:rsidRDefault="00DF13B1">
      <w:pPr>
        <w:pStyle w:val="a2"/>
        <w:spacing w:before="156" w:after="156"/>
        <w:rPr>
          <w:rFonts w:hAnsi="黑体"/>
        </w:rPr>
      </w:pPr>
    </w:p>
    <w:p w14:paraId="2157B7B1"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水运物流从业人员</w:t>
      </w:r>
      <w:r>
        <w:rPr>
          <w:rFonts w:hAnsi="黑体"/>
          <w:b/>
          <w:bCs/>
        </w:rPr>
        <w:t xml:space="preserve"> water transport logistics practitioners</w:t>
      </w:r>
    </w:p>
    <w:p w14:paraId="2157B7B2" w14:textId="77777777" w:rsidR="00DF13B1" w:rsidRDefault="00714F4B">
      <w:pPr>
        <w:pStyle w:val="afff2"/>
      </w:pPr>
      <w:r>
        <w:rPr>
          <w:rFonts w:hint="eastAsia"/>
        </w:rPr>
        <w:t>除港口作业人员以外的负责水运物流服务操作的人员,包括船员、调度人员和其他从业人员。</w:t>
      </w:r>
    </w:p>
    <w:p w14:paraId="2157B7B3" w14:textId="77777777" w:rsidR="00DF13B1" w:rsidRDefault="00714F4B">
      <w:pPr>
        <w:pStyle w:val="afff2"/>
        <w:ind w:firstLine="360"/>
        <w:rPr>
          <w:sz w:val="18"/>
          <w:szCs w:val="18"/>
        </w:rPr>
      </w:pPr>
      <w:r>
        <w:rPr>
          <w:rFonts w:hint="eastAsia"/>
          <w:sz w:val="18"/>
          <w:szCs w:val="18"/>
        </w:rPr>
        <w:t>注：港口作业人员是指隶属于港口管理的人员。</w:t>
      </w:r>
    </w:p>
    <w:p w14:paraId="2157B7B4" w14:textId="77777777" w:rsidR="00DF13B1" w:rsidRDefault="00DF13B1">
      <w:pPr>
        <w:pStyle w:val="a2"/>
        <w:spacing w:before="156" w:after="156"/>
        <w:rPr>
          <w:rFonts w:hAnsi="黑体"/>
        </w:rPr>
      </w:pPr>
    </w:p>
    <w:p w14:paraId="2157B7B5"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水运物流服务质量</w:t>
      </w:r>
      <w:r>
        <w:rPr>
          <w:rFonts w:hAnsi="黑体"/>
          <w:b/>
          <w:bCs/>
        </w:rPr>
        <w:t xml:space="preserve"> water transport logistics service quality</w:t>
      </w:r>
    </w:p>
    <w:p w14:paraId="2157B7B6" w14:textId="77777777" w:rsidR="00DF13B1" w:rsidRDefault="00714F4B">
      <w:pPr>
        <w:pStyle w:val="afff2"/>
      </w:pPr>
      <w:r>
        <w:rPr>
          <w:rFonts w:hint="eastAsia"/>
        </w:rPr>
        <w:t>内河水运物流服务满足明示的、通常隐含的或必须履行的需要和期望的程度。</w:t>
      </w:r>
    </w:p>
    <w:p w14:paraId="2157B7B7" w14:textId="77777777" w:rsidR="00DF13B1" w:rsidRDefault="00714F4B">
      <w:pPr>
        <w:pStyle w:val="afff2"/>
      </w:pPr>
      <w:r>
        <w:rPr>
          <w:rFonts w:hint="eastAsia"/>
        </w:rPr>
        <w:t>[来源：</w:t>
      </w:r>
      <w:r>
        <w:t>GB/T 18354-2006</w:t>
      </w:r>
      <w:r>
        <w:rPr>
          <w:rFonts w:hint="eastAsia"/>
        </w:rPr>
        <w:t>，4.41</w:t>
      </w:r>
      <w:r>
        <w:t>]</w:t>
      </w:r>
    </w:p>
    <w:p w14:paraId="2157B7B8" w14:textId="77777777" w:rsidR="00DF13B1" w:rsidRDefault="00DF13B1">
      <w:pPr>
        <w:pStyle w:val="a2"/>
        <w:spacing w:before="156" w:after="156"/>
        <w:rPr>
          <w:rFonts w:hAnsi="黑体"/>
        </w:rPr>
      </w:pPr>
    </w:p>
    <w:p w14:paraId="2157B7B9" w14:textId="77777777" w:rsidR="00DF13B1" w:rsidRDefault="00714F4B">
      <w:pPr>
        <w:pStyle w:val="a2"/>
        <w:numPr>
          <w:ilvl w:val="255"/>
          <w:numId w:val="0"/>
        </w:numPr>
        <w:spacing w:before="156" w:after="156"/>
        <w:ind w:firstLineChars="200" w:firstLine="422"/>
        <w:rPr>
          <w:rFonts w:hAnsi="黑体"/>
          <w:b/>
          <w:bCs/>
        </w:rPr>
      </w:pPr>
      <w:r>
        <w:rPr>
          <w:rFonts w:hAnsi="黑体" w:hint="eastAsia"/>
          <w:b/>
          <w:bCs/>
        </w:rPr>
        <w:t>物流信息技术</w:t>
      </w:r>
      <w:r>
        <w:rPr>
          <w:rFonts w:hAnsi="黑体"/>
          <w:b/>
          <w:bCs/>
        </w:rPr>
        <w:t xml:space="preserve"> logistics information technology</w:t>
      </w:r>
    </w:p>
    <w:p w14:paraId="2157B7BA" w14:textId="77777777" w:rsidR="00DF13B1" w:rsidRDefault="00714F4B">
      <w:pPr>
        <w:pStyle w:val="afff2"/>
      </w:pPr>
      <w:r>
        <w:rPr>
          <w:rFonts w:hint="eastAsia"/>
        </w:rPr>
        <w:t>物流各环节中应用的信息技术，包括计算机、网络、信息分类编码、自动识别、电子数据交换、全球定位系统、地理信息系统等技术。</w:t>
      </w:r>
    </w:p>
    <w:p w14:paraId="2157B7BB" w14:textId="77777777" w:rsidR="00DF13B1" w:rsidRDefault="00714F4B">
      <w:pPr>
        <w:pStyle w:val="afff2"/>
      </w:pPr>
      <w:r>
        <w:rPr>
          <w:rFonts w:hint="eastAsia"/>
        </w:rPr>
        <w:t>[来源：</w:t>
      </w:r>
      <w:r>
        <w:t>GB/T 18354-2006</w:t>
      </w:r>
      <w:r>
        <w:rPr>
          <w:rFonts w:hint="eastAsia"/>
        </w:rPr>
        <w:t>，6.41]</w:t>
      </w:r>
    </w:p>
    <w:p w14:paraId="2157B7BC" w14:textId="77777777" w:rsidR="00DF13B1" w:rsidRDefault="00714F4B">
      <w:pPr>
        <w:pStyle w:val="a1"/>
        <w:spacing w:before="312" w:after="312"/>
        <w:rPr>
          <w:rFonts w:hAnsi="黑体"/>
          <w:b/>
        </w:rPr>
      </w:pPr>
      <w:r>
        <w:rPr>
          <w:rFonts w:hAnsi="黑体" w:hint="eastAsia"/>
          <w:b/>
        </w:rPr>
        <w:t>基本要求</w:t>
      </w:r>
    </w:p>
    <w:p w14:paraId="2157B7BD" w14:textId="77777777" w:rsidR="00DF13B1" w:rsidRDefault="00714F4B">
      <w:pPr>
        <w:pStyle w:val="a2"/>
        <w:spacing w:before="156" w:after="156"/>
        <w:rPr>
          <w:rFonts w:hAnsi="黑体"/>
          <w:b/>
          <w:bCs/>
        </w:rPr>
      </w:pPr>
      <w:r>
        <w:rPr>
          <w:rFonts w:hAnsi="黑体" w:hint="eastAsia"/>
          <w:b/>
          <w:bCs/>
        </w:rPr>
        <w:t>水运物流公司要求</w:t>
      </w:r>
    </w:p>
    <w:p w14:paraId="2157B7BE"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应持有合法有效的水路普通货物运输资质。</w:t>
      </w:r>
    </w:p>
    <w:p w14:paraId="2157B7BF"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应具有健全的生产调度、船舶管理、人员管理、市场营销与售后服务组成的物流组织管理体系。</w:t>
      </w:r>
    </w:p>
    <w:p w14:paraId="2157B7C0"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宜取得安全生产标准化三级及以上资质，或建立国内安全管理体系，持有符合证明或临时符合证明。</w:t>
      </w:r>
    </w:p>
    <w:p w14:paraId="2157B7C1"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应没有被省部级以上行政主管部门列入行业信用严重失信名单。</w:t>
      </w:r>
    </w:p>
    <w:p w14:paraId="2157B7C2" w14:textId="77777777" w:rsidR="00DF13B1" w:rsidRDefault="00714F4B">
      <w:pPr>
        <w:pStyle w:val="a2"/>
        <w:spacing w:before="156" w:after="156"/>
        <w:rPr>
          <w:rFonts w:hAnsi="黑体"/>
        </w:rPr>
      </w:pPr>
      <w:r>
        <w:rPr>
          <w:rFonts w:hAnsi="黑体" w:hint="eastAsia"/>
          <w:b/>
          <w:bCs/>
        </w:rPr>
        <w:t>水运物流从业人员要求</w:t>
      </w:r>
    </w:p>
    <w:p w14:paraId="2157B7C3"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应经过安全生产教育和专业技术培训。</w:t>
      </w:r>
    </w:p>
    <w:p w14:paraId="2157B7C4"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应严格按照岗位作业规程操作。</w:t>
      </w:r>
    </w:p>
    <w:p w14:paraId="2157B7C5"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 xml:space="preserve">应遵守相关场所管理单位的相关规定，做好安全防护，注意人身安全。 </w:t>
      </w:r>
    </w:p>
    <w:p w14:paraId="2157B7C6"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船员应取得法定的适任证书、专业培训证书，岗证相符。</w:t>
      </w:r>
    </w:p>
    <w:p w14:paraId="2157B7C7"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船员配备应符合《船员最低安全配员规则》。</w:t>
      </w:r>
    </w:p>
    <w:p w14:paraId="2157B7C8"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调度人员应熟悉装卸港口、码头设备、航道等情况，掌握生产计划。</w:t>
      </w:r>
    </w:p>
    <w:p w14:paraId="2157B7C9" w14:textId="77777777" w:rsidR="00DF13B1" w:rsidRDefault="00714F4B">
      <w:pPr>
        <w:pStyle w:val="a2"/>
        <w:spacing w:before="156" w:after="156"/>
        <w:rPr>
          <w:rFonts w:hAnsi="黑体"/>
          <w:b/>
          <w:bCs/>
        </w:rPr>
      </w:pPr>
      <w:r>
        <w:rPr>
          <w:rFonts w:hAnsi="黑体" w:hint="eastAsia"/>
          <w:b/>
          <w:bCs/>
        </w:rPr>
        <w:t>水运物流设施设备要求</w:t>
      </w:r>
    </w:p>
    <w:p w14:paraId="2157B7CA"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lastRenderedPageBreak/>
        <w:t>船舶应符合钢质船建造规范，取得合法有效证书。</w:t>
      </w:r>
    </w:p>
    <w:p w14:paraId="2157B7CB"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总吨位3000及以上的船舶应按规定取得安全管理证书，安全环保设施设备配备应符合国家安全规定、行业规范。</w:t>
      </w:r>
    </w:p>
    <w:p w14:paraId="2157B7CC"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船舶配备船舶自动识别系统（AIS）设备并保证处于良好状态，货舱应装有视频监控设备。</w:t>
      </w:r>
    </w:p>
    <w:p w14:paraId="2157B7CD"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船舶舱底应设有污水井或污水沟，舱口宽大并配备封舱设施。</w:t>
      </w:r>
    </w:p>
    <w:p w14:paraId="2157B7CE"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船舶载重线、水尺及其他相关标识清晰，符合《船舶载重线标志和水尺勘划及船体颜色标识检验指南》规定。非标船水尺由符合资质的船舶设计公司制作。</w:t>
      </w:r>
    </w:p>
    <w:p w14:paraId="2157B7CF"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对于采用水尺交接的船舶应具备规范的水尺计量图表。</w:t>
      </w:r>
    </w:p>
    <w:p w14:paraId="2157B7D0"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码头应符合国家有关规范和标准，具备煤炭装卸和船舶污染物接受设施，具备岸电供电设施。</w:t>
      </w:r>
    </w:p>
    <w:p w14:paraId="2157B7D1" w14:textId="77777777" w:rsidR="00DF13B1" w:rsidRDefault="00714F4B">
      <w:pPr>
        <w:pStyle w:val="a1"/>
        <w:spacing w:before="312" w:after="312"/>
        <w:rPr>
          <w:rFonts w:hAnsi="黑体"/>
          <w:b/>
        </w:rPr>
      </w:pPr>
      <w:r>
        <w:rPr>
          <w:rFonts w:hAnsi="黑体" w:hint="eastAsia"/>
          <w:b/>
        </w:rPr>
        <w:t>作业要求</w:t>
      </w:r>
    </w:p>
    <w:p w14:paraId="2157B7D2" w14:textId="77777777" w:rsidR="00DF13B1" w:rsidRDefault="00714F4B">
      <w:pPr>
        <w:pStyle w:val="a2"/>
        <w:spacing w:before="156" w:after="156"/>
        <w:rPr>
          <w:rFonts w:hAnsi="黑体"/>
          <w:b/>
          <w:bCs/>
        </w:rPr>
      </w:pPr>
      <w:r>
        <w:rPr>
          <w:rFonts w:hAnsi="黑体" w:hint="eastAsia"/>
          <w:b/>
          <w:bCs/>
        </w:rPr>
        <w:t>船舶运输组织</w:t>
      </w:r>
    </w:p>
    <w:p w14:paraId="2157B7D3"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应按照服务要求将运输船舶向客户备案。</w:t>
      </w:r>
    </w:p>
    <w:p w14:paraId="2157B7D4"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应制定运输计划，依据客户需求、船期、航线、码头、煤炭特性等调配船舶与人员。</w:t>
      </w:r>
    </w:p>
    <w:p w14:paraId="2157B7D5"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应检查船舶甲板、机舱、驾驶室的设施设备，保障设施符合检验技术规范规定的技术状态。</w:t>
      </w:r>
    </w:p>
    <w:p w14:paraId="2157B7D6"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应检查货舱清洁干燥程度，清理影响煤炭质量的残留货物。</w:t>
      </w:r>
    </w:p>
    <w:p w14:paraId="2157B7D7"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航前应交代所运煤炭特性和运输的特殊要求。</w:t>
      </w:r>
    </w:p>
    <w:p w14:paraId="2157B7D8" w14:textId="77777777" w:rsidR="00DF13B1" w:rsidRDefault="00714F4B">
      <w:pPr>
        <w:pStyle w:val="a2"/>
        <w:spacing w:before="156" w:after="156"/>
        <w:rPr>
          <w:rFonts w:hAnsi="黑体"/>
          <w:b/>
          <w:bCs/>
        </w:rPr>
      </w:pPr>
      <w:r>
        <w:rPr>
          <w:rFonts w:hAnsi="黑体" w:hint="eastAsia"/>
          <w:b/>
          <w:bCs/>
        </w:rPr>
        <w:t>船舶装载准备</w:t>
      </w:r>
    </w:p>
    <w:p w14:paraId="2157B7D9"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根据装载计划，物流服务人员应会同港口作业人员安排泊位，确定船舶装载作业计划和积载方案。</w:t>
      </w:r>
    </w:p>
    <w:p w14:paraId="2157B7DA"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特殊气象条件应采取有效防范措施。</w:t>
      </w:r>
    </w:p>
    <w:p w14:paraId="2157B7DB" w14:textId="77777777" w:rsidR="00DF13B1" w:rsidRDefault="00714F4B">
      <w:pPr>
        <w:pStyle w:val="a2"/>
        <w:spacing w:before="156" w:after="156"/>
        <w:rPr>
          <w:rFonts w:hAnsi="黑体"/>
          <w:b/>
          <w:bCs/>
        </w:rPr>
      </w:pPr>
      <w:r>
        <w:rPr>
          <w:rFonts w:hAnsi="黑体" w:hint="eastAsia"/>
          <w:b/>
          <w:bCs/>
        </w:rPr>
        <w:t>装载作业</w:t>
      </w:r>
    </w:p>
    <w:p w14:paraId="2157B7DC"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装载前对于空船需要压载的船舶，港口应合理安排码头占用时间。</w:t>
      </w:r>
    </w:p>
    <w:p w14:paraId="2157B7DD"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装载前按水尺计量交接的应会同港口作业人员查看空船六面水尺，检查压舱水，按过磅（或皮带秤）交接的应共同查看起始读数，所有查看结果均应做原始记录。</w:t>
      </w:r>
    </w:p>
    <w:p w14:paraId="2157B7DE" w14:textId="77777777" w:rsidR="00DF13B1" w:rsidRDefault="00714F4B">
      <w:pPr>
        <w:pStyle w:val="a3"/>
        <w:spacing w:before="156" w:after="156"/>
        <w:rPr>
          <w:rFonts w:ascii="Times New Roman" w:eastAsiaTheme="minorEastAsia" w:hAnsiTheme="minorEastAsia"/>
        </w:rPr>
      </w:pPr>
      <w:r>
        <w:rPr>
          <w:rFonts w:asciiTheme="minorEastAsia" w:eastAsiaTheme="minorEastAsia" w:hAnsiTheme="minorEastAsia" w:hint="eastAsia"/>
          <w:color w:val="000000" w:themeColor="text1"/>
        </w:rPr>
        <w:t>装载时应</w:t>
      </w:r>
      <w:r>
        <w:rPr>
          <w:rFonts w:ascii="Times New Roman" w:eastAsiaTheme="minorEastAsia" w:hAnsiTheme="minorEastAsia" w:hint="eastAsia"/>
          <w:color w:val="000000" w:themeColor="text1"/>
        </w:rPr>
        <w:t>监督装船，防止出现严重偏载，纵倾控制在首尾吃水差应不大于</w:t>
      </w:r>
      <w:r>
        <w:rPr>
          <w:rFonts w:ascii="Times New Roman" w:eastAsiaTheme="minorEastAsia" w:hAnsiTheme="minorEastAsia"/>
          <w:color w:val="000000" w:themeColor="text1"/>
        </w:rPr>
        <w:t>30cm</w:t>
      </w:r>
      <w:r>
        <w:rPr>
          <w:rFonts w:ascii="Times New Roman" w:eastAsiaTheme="minorEastAsia" w:hAnsiTheme="minorEastAsia" w:hint="eastAsia"/>
          <w:color w:val="000000" w:themeColor="text1"/>
        </w:rPr>
        <w:t>。</w:t>
      </w:r>
    </w:p>
    <w:p w14:paraId="2157B7DF" w14:textId="77777777" w:rsidR="00DF13B1" w:rsidRDefault="00714F4B">
      <w:pPr>
        <w:pStyle w:val="a3"/>
        <w:spacing w:before="156" w:after="15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应按照既定积载方案进行装载，堆型倾角不应大于摩擦角，防止坍塌、影响封舱，堆高不应妨碍驾引人员瞭望。</w:t>
      </w:r>
    </w:p>
    <w:p w14:paraId="2157B7E0" w14:textId="77777777" w:rsidR="00DF13B1" w:rsidRDefault="00714F4B">
      <w:pPr>
        <w:pStyle w:val="a3"/>
        <w:spacing w:before="156" w:after="15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装载量应按所在航区核定干舷控制，不超载。</w:t>
      </w:r>
    </w:p>
    <w:p w14:paraId="2157B7E1"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装载后应及时封舱，雨棚遮盖严实，如采用雨布封舱，雨布应包裹到舱口外沿，并有效加固。</w:t>
      </w:r>
    </w:p>
    <w:p w14:paraId="2157B7E2"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lastRenderedPageBreak/>
        <w:t>装载后按水尺计量交接的，应会同港口作业人员共同查看重船六面水尺，检查压舱水，按过磅（或皮带秤）交接的应共同查看最终读数，所有查看结果均应做原始记录。</w:t>
      </w:r>
    </w:p>
    <w:p w14:paraId="2157B7E3"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制作运单、交接清单，应当载明承运人、托运人和收货人名称；货物品种、质量；船名、航次；起运港、中转港和到达港；货物交接的地点和时间；装船日期；包装方式；识别标志；六面空重船水尺等。</w:t>
      </w:r>
    </w:p>
    <w:p w14:paraId="2157B7E4" w14:textId="77777777" w:rsidR="00DF13B1" w:rsidRDefault="00714F4B">
      <w:pPr>
        <w:pStyle w:val="a2"/>
        <w:spacing w:before="156" w:after="156"/>
        <w:rPr>
          <w:rFonts w:hAnsi="黑体"/>
          <w:b/>
          <w:bCs/>
        </w:rPr>
      </w:pPr>
      <w:r>
        <w:rPr>
          <w:rFonts w:hAnsi="黑体" w:hint="eastAsia"/>
          <w:b/>
          <w:bCs/>
        </w:rPr>
        <w:t>航行作业</w:t>
      </w:r>
    </w:p>
    <w:p w14:paraId="2157B7E5"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应遵守水上交通安全管理法规与海事安全监管规定，保障船舶在核定航区安全航行，通过内河船闸（升船机）时应遵守过闸调度规程和安全管理特别规定。</w:t>
      </w:r>
    </w:p>
    <w:p w14:paraId="2157B7E6"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应通过卫星定位或者视频终端监控船舶航行状态，保障货证相符、货证同行、安全航行。</w:t>
      </w:r>
    </w:p>
    <w:p w14:paraId="2157B7E7"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船舶如遇特殊原因变更航线，应及时向物流企业报告，并取得客户同意。</w:t>
      </w:r>
    </w:p>
    <w:p w14:paraId="2157B7E8"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运输途中应加强防水环保雨布或其他封舱设施检查，防止雨水进入货舱。</w:t>
      </w:r>
    </w:p>
    <w:p w14:paraId="2157B7E9"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特殊时段锚地减载，应记录分驳船名称、重量。</w:t>
      </w:r>
    </w:p>
    <w:p w14:paraId="2157B7EA"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应建立货物在途跟踪管理，提供物流实时追踪服务。</w:t>
      </w:r>
    </w:p>
    <w:p w14:paraId="2157B7EB"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抵港前宜提前12h通知收货人做好收货准备。</w:t>
      </w:r>
    </w:p>
    <w:p w14:paraId="2157B7EC" w14:textId="77777777" w:rsidR="00DF13B1" w:rsidRDefault="00714F4B">
      <w:pPr>
        <w:pStyle w:val="a2"/>
        <w:spacing w:before="156" w:after="156"/>
        <w:rPr>
          <w:rFonts w:hAnsi="黑体"/>
          <w:b/>
          <w:bCs/>
        </w:rPr>
      </w:pPr>
      <w:r>
        <w:rPr>
          <w:rFonts w:hAnsi="黑体" w:hint="eastAsia"/>
          <w:b/>
          <w:bCs/>
        </w:rPr>
        <w:t>卸载作业</w:t>
      </w:r>
    </w:p>
    <w:p w14:paraId="2157B7ED"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卸载前应会同港口作业人员检查封舱是否完好。</w:t>
      </w:r>
    </w:p>
    <w:p w14:paraId="2157B7EE"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应与收货方共同验收重船水尺、检查压舱水，或记录皮带秤起始读数，签字确认。</w:t>
      </w:r>
    </w:p>
    <w:p w14:paraId="2157B7EF"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卸空后，船方、收货方应共同勘验空船水尺，或记录皮带秤最终读数，签字确认。</w:t>
      </w:r>
    </w:p>
    <w:p w14:paraId="2157B7F0"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应核对交接单，签字确认交接数量。</w:t>
      </w:r>
    </w:p>
    <w:p w14:paraId="2157B7F1" w14:textId="77777777" w:rsidR="00DF13B1" w:rsidRDefault="00714F4B">
      <w:pPr>
        <w:pStyle w:val="a3"/>
        <w:spacing w:before="156" w:after="156"/>
        <w:rPr>
          <w:rFonts w:ascii="宋体" w:eastAsia="宋体"/>
          <w:szCs w:val="20"/>
        </w:rPr>
      </w:pPr>
      <w:r>
        <w:rPr>
          <w:rFonts w:asciiTheme="minorEastAsia" w:eastAsiaTheme="minorEastAsia" w:hAnsiTheme="minorEastAsia" w:hint="eastAsia"/>
        </w:rPr>
        <w:t>应保证待卸、卸载期间船员值守。</w:t>
      </w:r>
    </w:p>
    <w:p w14:paraId="2157B7F2"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应协助码头扫舱，若码头不扫舱可拒绝离开码头或向港口行政管理部门、码头上级单位协商解决。</w:t>
      </w:r>
    </w:p>
    <w:p w14:paraId="2157B7F3" w14:textId="77777777" w:rsidR="00DF13B1" w:rsidRDefault="00714F4B">
      <w:pPr>
        <w:pStyle w:val="a1"/>
        <w:spacing w:before="312" w:after="312"/>
        <w:rPr>
          <w:rFonts w:hAnsi="黑体"/>
          <w:b/>
        </w:rPr>
      </w:pPr>
      <w:r>
        <w:rPr>
          <w:rFonts w:hAnsi="黑体" w:hint="eastAsia"/>
          <w:b/>
        </w:rPr>
        <w:t>交接数量和质量要求</w:t>
      </w:r>
    </w:p>
    <w:p w14:paraId="2157B7F4" w14:textId="77777777" w:rsidR="00DF13B1" w:rsidRDefault="00714F4B">
      <w:pPr>
        <w:pStyle w:val="a2"/>
        <w:spacing w:before="156" w:after="156"/>
        <w:rPr>
          <w:rFonts w:hAnsi="黑体"/>
          <w:b/>
          <w:bCs/>
        </w:rPr>
      </w:pPr>
      <w:r>
        <w:rPr>
          <w:rFonts w:hAnsi="黑体" w:hint="eastAsia"/>
          <w:b/>
          <w:bCs/>
        </w:rPr>
        <w:t>数量质量交接方法</w:t>
      </w:r>
    </w:p>
    <w:p w14:paraId="2157B7F5" w14:textId="77777777" w:rsidR="00DF13B1" w:rsidRDefault="00714F4B">
      <w:pPr>
        <w:pStyle w:val="a3"/>
        <w:spacing w:before="156" w:after="156"/>
        <w:rPr>
          <w:rFonts w:hAnsi="黑体"/>
          <w:b/>
        </w:rPr>
      </w:pPr>
      <w:r>
        <w:rPr>
          <w:rFonts w:hAnsi="黑体" w:hint="eastAsia"/>
          <w:b/>
        </w:rPr>
        <w:t>数量交接</w:t>
      </w:r>
    </w:p>
    <w:p w14:paraId="2157B7F6" w14:textId="77777777" w:rsidR="00DF13B1" w:rsidRDefault="00714F4B">
      <w:pPr>
        <w:pStyle w:val="a3"/>
        <w:numPr>
          <w:ilvl w:val="2"/>
          <w:numId w:val="0"/>
        </w:numPr>
        <w:spacing w:before="156" w:after="156"/>
        <w:ind w:firstLineChars="200" w:firstLine="420"/>
        <w:rPr>
          <w:rFonts w:ascii="宋体" w:eastAsia="宋体" w:hAnsi="宋体" w:cs="宋体"/>
        </w:rPr>
      </w:pPr>
      <w:r>
        <w:rPr>
          <w:rFonts w:ascii="宋体" w:eastAsia="宋体" w:hAnsi="宋体" w:cs="宋体" w:hint="eastAsia"/>
        </w:rPr>
        <w:t>依据物流运输双方约定的计量地点和方式交接，未明确的应采取水尺计量煤炭运输数量，推荐水尺作为水路运输货物计量主要交接方式。</w:t>
      </w:r>
    </w:p>
    <w:p w14:paraId="2157B7F7" w14:textId="77777777" w:rsidR="00DF13B1" w:rsidRDefault="00714F4B">
      <w:pPr>
        <w:pStyle w:val="a3"/>
        <w:spacing w:before="156" w:after="156"/>
        <w:rPr>
          <w:rFonts w:hAnsi="黑体"/>
          <w:b/>
        </w:rPr>
      </w:pPr>
      <w:r>
        <w:rPr>
          <w:rFonts w:hAnsi="黑体" w:hint="eastAsia"/>
          <w:b/>
        </w:rPr>
        <w:t>质量交接</w:t>
      </w:r>
    </w:p>
    <w:p w14:paraId="2157B7F8" w14:textId="77777777" w:rsidR="00DF13B1" w:rsidRDefault="00714F4B">
      <w:pPr>
        <w:pStyle w:val="a3"/>
        <w:numPr>
          <w:ilvl w:val="2"/>
          <w:numId w:val="0"/>
        </w:numPr>
        <w:spacing w:before="156" w:after="156"/>
        <w:ind w:firstLineChars="200" w:firstLine="420"/>
        <w:rPr>
          <w:rFonts w:ascii="宋体" w:eastAsia="宋体" w:hAnsi="宋体" w:cs="宋体"/>
        </w:rPr>
      </w:pPr>
      <w:r>
        <w:rPr>
          <w:rFonts w:ascii="宋体" w:eastAsia="宋体" w:hAnsi="宋体" w:cs="宋体" w:hint="eastAsia"/>
        </w:rPr>
        <w:t>依据物流运输双方约定的检测地点和第三方检测机构的检测结果为质量交接依据，质量交接时码头人员应参与，确保交接过程公允性，质检机构宜选择国内官方或国内市场公认的民营检验机构。</w:t>
      </w:r>
    </w:p>
    <w:p w14:paraId="2157B7F9" w14:textId="77777777" w:rsidR="00DF13B1" w:rsidRDefault="00714F4B">
      <w:pPr>
        <w:pStyle w:val="a2"/>
        <w:spacing w:before="156" w:after="156"/>
        <w:rPr>
          <w:rFonts w:hAnsi="黑体"/>
          <w:b/>
          <w:bCs/>
        </w:rPr>
      </w:pPr>
      <w:r>
        <w:rPr>
          <w:rFonts w:hAnsi="黑体" w:hint="eastAsia"/>
          <w:b/>
          <w:bCs/>
        </w:rPr>
        <w:t>数量差异标准</w:t>
      </w:r>
    </w:p>
    <w:p w14:paraId="2157B7FA" w14:textId="77777777" w:rsidR="00DF13B1" w:rsidRDefault="00714F4B">
      <w:pPr>
        <w:pStyle w:val="a3"/>
        <w:spacing w:before="156" w:after="156"/>
        <w:rPr>
          <w:rFonts w:ascii="宋体" w:eastAsia="宋体" w:hAnsi="宋体" w:cs="宋体"/>
        </w:rPr>
      </w:pPr>
      <w:r>
        <w:rPr>
          <w:rFonts w:ascii="宋体" w:eastAsia="宋体" w:hAnsi="宋体" w:cs="宋体" w:hint="eastAsia"/>
        </w:rPr>
        <w:lastRenderedPageBreak/>
        <w:t>单航次水尺、皮带秤（或过磅）的交接计量差异应控制在±0.5%范围内。</w:t>
      </w:r>
    </w:p>
    <w:p w14:paraId="2157B7FB" w14:textId="77777777" w:rsidR="00DF13B1" w:rsidRDefault="00714F4B">
      <w:pPr>
        <w:pStyle w:val="a3"/>
        <w:spacing w:before="156" w:after="156"/>
        <w:rPr>
          <w:rFonts w:ascii="宋体" w:eastAsia="宋体" w:hAnsi="宋体" w:cs="宋体"/>
        </w:rPr>
      </w:pPr>
      <w:r>
        <w:rPr>
          <w:rFonts w:ascii="宋体" w:eastAsia="宋体" w:hAnsi="宋体" w:cs="宋体" w:hint="eastAsia"/>
        </w:rPr>
        <w:t>装卸及运输损耗应控制在0.3%以内，联运中转每次新增损耗应控制在0.3%以内。</w:t>
      </w:r>
    </w:p>
    <w:p w14:paraId="2157B7FC" w14:textId="77777777" w:rsidR="00DF13B1" w:rsidRDefault="00714F4B">
      <w:pPr>
        <w:pStyle w:val="a3"/>
        <w:spacing w:before="156" w:after="156"/>
        <w:rPr>
          <w:rFonts w:ascii="宋体" w:eastAsia="宋体" w:hAnsi="宋体" w:cs="宋体"/>
        </w:rPr>
      </w:pPr>
      <w:r>
        <w:rPr>
          <w:rFonts w:ascii="宋体" w:eastAsia="宋体" w:hAnsi="宋体" w:cs="宋体" w:hint="eastAsia"/>
        </w:rPr>
        <w:t>一方对交接数量有异议时，另一方应允许查验与复磅。</w:t>
      </w:r>
    </w:p>
    <w:p w14:paraId="2157B7FD" w14:textId="77777777" w:rsidR="00DF13B1" w:rsidRDefault="00714F4B">
      <w:pPr>
        <w:pStyle w:val="a2"/>
        <w:spacing w:before="156" w:after="156"/>
        <w:rPr>
          <w:rFonts w:hAnsi="黑体"/>
          <w:b/>
          <w:bCs/>
        </w:rPr>
      </w:pPr>
      <w:r>
        <w:rPr>
          <w:rFonts w:hAnsi="黑体" w:hint="eastAsia"/>
          <w:b/>
          <w:bCs/>
        </w:rPr>
        <w:t>质量差异标准</w:t>
      </w:r>
    </w:p>
    <w:p w14:paraId="2157B7FE" w14:textId="77777777" w:rsidR="00DF13B1" w:rsidRDefault="00714F4B">
      <w:pPr>
        <w:pStyle w:val="a3"/>
        <w:numPr>
          <w:ilvl w:val="2"/>
          <w:numId w:val="0"/>
        </w:numPr>
        <w:spacing w:before="156" w:after="156"/>
        <w:ind w:firstLineChars="200" w:firstLine="420"/>
        <w:rPr>
          <w:rFonts w:ascii="宋体" w:eastAsia="宋体" w:hAnsi="宋体" w:cs="宋体"/>
        </w:rPr>
      </w:pPr>
      <w:r>
        <w:rPr>
          <w:rFonts w:ascii="宋体" w:eastAsia="宋体" w:hAnsi="宋体" w:cs="宋体" w:hint="eastAsia"/>
        </w:rPr>
        <w:t>可以采用绝对热值差异法（方法A）、综合热值差异法（方法B）其中一种方法。</w:t>
      </w:r>
    </w:p>
    <w:p w14:paraId="2157B7FF" w14:textId="77777777" w:rsidR="00DF13B1" w:rsidRDefault="00714F4B">
      <w:pPr>
        <w:pStyle w:val="a3"/>
        <w:spacing w:before="156" w:after="156"/>
        <w:rPr>
          <w:rFonts w:ascii="宋体" w:eastAsia="宋体" w:hAnsi="宋体" w:cs="宋体"/>
        </w:rPr>
      </w:pPr>
      <w:r>
        <w:rPr>
          <w:rFonts w:ascii="宋体" w:eastAsia="宋体" w:hAnsi="宋体" w:cs="宋体" w:hint="eastAsia"/>
        </w:rPr>
        <w:t>方法A：单航次运输绝对热值差异应在0.42mJ/kg（100kcal/kg)以内，批量运输的考核期平均绝对热值差异应控制在0.33mJ/kg（80kcal/kg)以内。</w:t>
      </w:r>
    </w:p>
    <w:p w14:paraId="2157B800" w14:textId="77777777" w:rsidR="00DF13B1" w:rsidRDefault="00714F4B">
      <w:pPr>
        <w:pStyle w:val="a3"/>
        <w:spacing w:before="156" w:after="156"/>
        <w:rPr>
          <w:rFonts w:ascii="宋体" w:eastAsia="宋体" w:hAnsi="宋体" w:cs="宋体"/>
        </w:rPr>
      </w:pPr>
      <w:r>
        <w:rPr>
          <w:rFonts w:ascii="宋体" w:eastAsia="宋体" w:hAnsi="宋体" w:cs="宋体" w:hint="eastAsia"/>
        </w:rPr>
        <w:t>方法B：综合热值差异应在0.33mJ/kg（80kcal/kg)以内，采用此方法时，应不单独再对数量差异进行考核。</w:t>
      </w:r>
    </w:p>
    <w:p w14:paraId="2157B801" w14:textId="77777777" w:rsidR="00DF13B1" w:rsidRDefault="00714F4B">
      <w:pPr>
        <w:pStyle w:val="a3"/>
        <w:spacing w:before="156" w:after="156"/>
        <w:rPr>
          <w:rFonts w:ascii="宋体" w:eastAsia="宋体" w:hAnsi="宋体" w:cs="宋体"/>
        </w:rPr>
      </w:pPr>
      <w:r>
        <w:rPr>
          <w:rFonts w:ascii="宋体" w:eastAsia="宋体" w:hAnsi="宋体" w:cs="宋体" w:hint="eastAsia"/>
        </w:rPr>
        <w:t>因热值差异超标主张免责时，物流运输方应提供全程视频录像数据或其他证明。</w:t>
      </w:r>
    </w:p>
    <w:p w14:paraId="2157B802" w14:textId="77777777" w:rsidR="00DF13B1" w:rsidRDefault="00714F4B">
      <w:pPr>
        <w:pStyle w:val="a2"/>
        <w:spacing w:before="156" w:after="156"/>
        <w:rPr>
          <w:rFonts w:hAnsi="黑体"/>
          <w:b/>
          <w:bCs/>
        </w:rPr>
      </w:pPr>
      <w:r>
        <w:rPr>
          <w:rFonts w:hAnsi="黑体" w:hint="eastAsia"/>
          <w:b/>
          <w:bCs/>
        </w:rPr>
        <w:t>建档要求</w:t>
      </w:r>
    </w:p>
    <w:p w14:paraId="2157B803" w14:textId="77777777" w:rsidR="00DF13B1" w:rsidRDefault="00714F4B">
      <w:pPr>
        <w:pStyle w:val="a3"/>
        <w:numPr>
          <w:ilvl w:val="2"/>
          <w:numId w:val="0"/>
        </w:numPr>
        <w:spacing w:before="156" w:after="156"/>
        <w:ind w:firstLineChars="200" w:firstLine="420"/>
        <w:rPr>
          <w:rFonts w:ascii="宋体" w:eastAsia="宋体" w:hAnsi="宋体" w:cs="宋体"/>
        </w:rPr>
      </w:pPr>
      <w:r>
        <w:rPr>
          <w:rFonts w:ascii="宋体" w:eastAsia="宋体" w:hAnsi="宋体" w:cs="宋体" w:hint="eastAsia"/>
        </w:rPr>
        <w:t>煤炭数量、质量交接应建档保存，档案保留时间不少于六年。</w:t>
      </w:r>
    </w:p>
    <w:p w14:paraId="2157B804" w14:textId="77777777" w:rsidR="00DF13B1" w:rsidRDefault="00714F4B">
      <w:pPr>
        <w:pStyle w:val="a1"/>
        <w:spacing w:before="312" w:after="312"/>
        <w:rPr>
          <w:rFonts w:hAnsi="黑体"/>
          <w:b/>
        </w:rPr>
      </w:pPr>
      <w:r>
        <w:rPr>
          <w:rFonts w:hAnsi="黑体" w:hint="eastAsia"/>
          <w:b/>
        </w:rPr>
        <w:t>环保消防要求</w:t>
      </w:r>
    </w:p>
    <w:p w14:paraId="2157B805" w14:textId="77777777" w:rsidR="00DF13B1" w:rsidRDefault="00714F4B">
      <w:pPr>
        <w:pStyle w:val="a2"/>
        <w:spacing w:before="156" w:after="156"/>
        <w:rPr>
          <w:rFonts w:hAnsi="黑体"/>
          <w:b/>
          <w:bCs/>
        </w:rPr>
      </w:pPr>
      <w:r>
        <w:rPr>
          <w:rFonts w:hAnsi="黑体" w:hint="eastAsia"/>
          <w:b/>
          <w:bCs/>
          <w:szCs w:val="20"/>
        </w:rPr>
        <w:t>环保要求</w:t>
      </w:r>
    </w:p>
    <w:p w14:paraId="2157B806"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船舶油污水，生活污水排放应符合G</w:t>
      </w:r>
      <w:r>
        <w:rPr>
          <w:rFonts w:asciiTheme="minorEastAsia" w:eastAsiaTheme="minorEastAsia" w:hAnsiTheme="minorEastAsia"/>
        </w:rPr>
        <w:t>B 3552</w:t>
      </w:r>
      <w:r>
        <w:rPr>
          <w:rFonts w:asciiTheme="minorEastAsia" w:eastAsiaTheme="minorEastAsia" w:hAnsiTheme="minorEastAsia" w:hint="eastAsia"/>
        </w:rPr>
        <w:t>的规定，船舶垃圾应遵守上岸处理管理规定。</w:t>
      </w:r>
    </w:p>
    <w:p w14:paraId="2157B807"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码头停泊期间船舶应按规定使用岸电。</w:t>
      </w:r>
    </w:p>
    <w:p w14:paraId="2157B808"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按规定应使用含硫量符合国家规定的燃油。</w:t>
      </w:r>
    </w:p>
    <w:p w14:paraId="2157B809"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应遵守船舶排放控制区的管制措施。</w:t>
      </w:r>
    </w:p>
    <w:p w14:paraId="2157B80A"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不应将舱底、甲板、码头散落余煤扫入或用水冲洗直排水域。</w:t>
      </w:r>
    </w:p>
    <w:p w14:paraId="2157B80B" w14:textId="77777777" w:rsidR="00DF13B1" w:rsidRDefault="00714F4B">
      <w:pPr>
        <w:pStyle w:val="a2"/>
        <w:spacing w:before="156" w:after="156"/>
        <w:rPr>
          <w:rFonts w:hAnsi="黑体"/>
          <w:b/>
          <w:bCs/>
          <w:szCs w:val="20"/>
        </w:rPr>
      </w:pPr>
      <w:r>
        <w:rPr>
          <w:rFonts w:hAnsi="黑体" w:hint="eastAsia"/>
          <w:b/>
          <w:bCs/>
          <w:szCs w:val="20"/>
        </w:rPr>
        <w:t>消防要求</w:t>
      </w:r>
    </w:p>
    <w:p w14:paraId="2157B80C"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船舶消防设备、器材配备应符合《国际海上人命安全公约》和适用规范要求。</w:t>
      </w:r>
    </w:p>
    <w:p w14:paraId="2157B80D"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加强货舱巡查，查看是否存在自燃、滑坡、坍塌等异常情况。</w:t>
      </w:r>
    </w:p>
    <w:p w14:paraId="2157B80E"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冬季应每天监测煤堆温度，必要时采取相应措施。</w:t>
      </w:r>
    </w:p>
    <w:p w14:paraId="2157B80F" w14:textId="77777777" w:rsidR="00DF13B1" w:rsidRDefault="00714F4B">
      <w:pPr>
        <w:pStyle w:val="a3"/>
        <w:spacing w:before="156" w:after="156"/>
        <w:rPr>
          <w:rFonts w:asciiTheme="minorEastAsia" w:eastAsiaTheme="minorEastAsia" w:hAnsiTheme="minorEastAsia"/>
        </w:rPr>
      </w:pPr>
      <w:r>
        <w:rPr>
          <w:rFonts w:asciiTheme="minorEastAsia" w:eastAsiaTheme="minorEastAsia" w:hAnsiTheme="minorEastAsia" w:hint="eastAsia"/>
        </w:rPr>
        <w:t>应掌握“淋、注、翻、断”自燃点处理方法，针对煤炭自燃应掌握“挖出、倒堆、灌水”等灭火措施。</w:t>
      </w:r>
    </w:p>
    <w:p w14:paraId="2157B810" w14:textId="77777777" w:rsidR="00DF13B1" w:rsidRDefault="00714F4B">
      <w:pPr>
        <w:pStyle w:val="a3"/>
        <w:spacing w:before="156" w:after="156"/>
        <w:rPr>
          <w:rFonts w:ascii="Times New Roman" w:eastAsiaTheme="minorEastAsia" w:hAnsiTheme="minorEastAsia"/>
        </w:rPr>
      </w:pPr>
      <w:r>
        <w:rPr>
          <w:rFonts w:asciiTheme="minorEastAsia" w:eastAsiaTheme="minorEastAsia" w:hAnsiTheme="minorEastAsia" w:hint="eastAsia"/>
        </w:rPr>
        <w:t>船舱、码头、储煤场内不应吸烟、明火作业。</w:t>
      </w:r>
    </w:p>
    <w:p w14:paraId="2157B811" w14:textId="77777777" w:rsidR="00DF13B1" w:rsidRDefault="00714F4B">
      <w:pPr>
        <w:pStyle w:val="a1"/>
        <w:spacing w:before="312" w:after="312"/>
        <w:rPr>
          <w:rFonts w:hAnsi="黑体"/>
          <w:b/>
        </w:rPr>
      </w:pPr>
      <w:r>
        <w:rPr>
          <w:rFonts w:hAnsi="黑体" w:hint="eastAsia"/>
          <w:b/>
        </w:rPr>
        <w:t>物流信息服务</w:t>
      </w:r>
    </w:p>
    <w:p w14:paraId="2157B812" w14:textId="77777777" w:rsidR="00DF13B1" w:rsidRDefault="00714F4B">
      <w:pPr>
        <w:pStyle w:val="a2"/>
        <w:spacing w:before="156" w:after="156"/>
        <w:rPr>
          <w:rFonts w:ascii="Times New Roman" w:eastAsiaTheme="minorEastAsia" w:hAnsiTheme="minorEastAsia"/>
        </w:rPr>
      </w:pPr>
      <w:r>
        <w:rPr>
          <w:rFonts w:ascii="Times New Roman" w:eastAsiaTheme="minorEastAsia" w:hAnsiTheme="minorEastAsia" w:hint="eastAsia"/>
        </w:rPr>
        <w:t>应用物流信息技术提供及时、准确、高效的物流信息服务。推进互联网＋建设，逐步达到物流过程可视化、透明化、流程化、数字化的管理要求。</w:t>
      </w:r>
    </w:p>
    <w:p w14:paraId="2157B813" w14:textId="77777777" w:rsidR="00DF13B1" w:rsidRDefault="00714F4B">
      <w:pPr>
        <w:pStyle w:val="a2"/>
        <w:spacing w:before="156" w:after="156"/>
        <w:rPr>
          <w:rFonts w:ascii="Times New Roman" w:eastAsiaTheme="minorEastAsia" w:hAnsiTheme="minorEastAsia"/>
        </w:rPr>
      </w:pPr>
      <w:r>
        <w:rPr>
          <w:rFonts w:ascii="Times New Roman" w:eastAsiaTheme="minorEastAsia" w:hAnsiTheme="minorEastAsia" w:hint="eastAsia"/>
        </w:rPr>
        <w:lastRenderedPageBreak/>
        <w:t>长期批量运输服务企业应具备全程物流信息服务系统，具备托运人管理、承运人管理、收货人管理、船舶档案管理、船舶定位跟踪、货物跟踪、船舶调度、航线查询、在途管理、单证管理等功能。不能提供完整信息的，可委托第三方服务平台提供。</w:t>
      </w:r>
    </w:p>
    <w:p w14:paraId="2157B814" w14:textId="77777777" w:rsidR="00DF13B1" w:rsidRDefault="00714F4B">
      <w:pPr>
        <w:pStyle w:val="a2"/>
        <w:spacing w:before="156" w:after="156"/>
        <w:rPr>
          <w:rFonts w:ascii="Times New Roman" w:eastAsiaTheme="minorEastAsia" w:hAnsiTheme="minorEastAsia"/>
        </w:rPr>
      </w:pPr>
      <w:r>
        <w:rPr>
          <w:rFonts w:ascii="Times New Roman" w:eastAsiaTheme="minorEastAsia" w:hAnsiTheme="minorEastAsia" w:hint="eastAsia"/>
        </w:rPr>
        <w:t>推荐港口、物流企业使用电子单证。</w:t>
      </w:r>
    </w:p>
    <w:p w14:paraId="2157B815" w14:textId="77777777" w:rsidR="00DF13B1" w:rsidRDefault="00714F4B">
      <w:pPr>
        <w:pStyle w:val="a2"/>
        <w:spacing w:before="156" w:after="156"/>
        <w:rPr>
          <w:rFonts w:ascii="Times New Roman" w:eastAsiaTheme="minorEastAsia" w:hAnsiTheme="minorEastAsia"/>
        </w:rPr>
      </w:pPr>
      <w:r>
        <w:rPr>
          <w:rFonts w:ascii="Times New Roman" w:eastAsiaTheme="minorEastAsia" w:hAnsiTheme="minorEastAsia" w:hint="eastAsia"/>
        </w:rPr>
        <w:t>物流信息系统的分类与代码、基础数据元、数据交换共享、安全等级应符合交通运输信息化标准体系相关规定。</w:t>
      </w:r>
    </w:p>
    <w:p w14:paraId="2157B816" w14:textId="77777777" w:rsidR="00DF13B1" w:rsidRDefault="00714F4B">
      <w:pPr>
        <w:pStyle w:val="a1"/>
        <w:spacing w:before="312" w:after="312"/>
        <w:rPr>
          <w:rFonts w:hAnsi="黑体"/>
          <w:b/>
        </w:rPr>
      </w:pPr>
      <w:r>
        <w:rPr>
          <w:rFonts w:hAnsi="黑体" w:hint="eastAsia"/>
          <w:b/>
        </w:rPr>
        <w:t>物流服务质量评价</w:t>
      </w:r>
    </w:p>
    <w:p w14:paraId="2157B817" w14:textId="77777777" w:rsidR="00DF13B1" w:rsidRDefault="00714F4B">
      <w:pPr>
        <w:pStyle w:val="a2"/>
        <w:spacing w:before="156" w:after="156"/>
        <w:rPr>
          <w:rFonts w:hAnsi="黑体"/>
          <w:b/>
          <w:bCs/>
        </w:rPr>
      </w:pPr>
      <w:r>
        <w:rPr>
          <w:rFonts w:hAnsi="黑体" w:hint="eastAsia"/>
          <w:b/>
          <w:bCs/>
        </w:rPr>
        <w:t>评价方式</w:t>
      </w:r>
    </w:p>
    <w:p w14:paraId="2157B818" w14:textId="7777777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对煤炭内河水运物流服务质量的评价，可采用自我评价、第三方评价或客户评价等方式定期或不定期进行。</w:t>
      </w:r>
    </w:p>
    <w:p w14:paraId="2157B819" w14:textId="77777777" w:rsidR="00DF13B1" w:rsidRDefault="00714F4B">
      <w:pPr>
        <w:pStyle w:val="a2"/>
        <w:spacing w:before="156" w:after="156"/>
        <w:rPr>
          <w:rFonts w:hAnsi="黑体"/>
          <w:b/>
          <w:bCs/>
        </w:rPr>
      </w:pPr>
      <w:r>
        <w:rPr>
          <w:rFonts w:hAnsi="黑体" w:hint="eastAsia"/>
          <w:b/>
          <w:bCs/>
        </w:rPr>
        <w:t>评价指标</w:t>
      </w:r>
    </w:p>
    <w:p w14:paraId="2157B81A" w14:textId="77777777" w:rsidR="00DF13B1" w:rsidRDefault="00714F4B">
      <w:pPr>
        <w:pStyle w:val="afff2"/>
      </w:pPr>
      <w:r>
        <w:rPr>
          <w:rFonts w:hint="eastAsia"/>
        </w:rPr>
        <w:t>服务质量评价指标、评价指标值和服务质量等级划分，见表1。</w:t>
      </w:r>
    </w:p>
    <w:p w14:paraId="2157B81B" w14:textId="77777777" w:rsidR="00DF13B1" w:rsidRDefault="00714F4B">
      <w:pPr>
        <w:widowControl/>
        <w:numPr>
          <w:ilvl w:val="255"/>
          <w:numId w:val="0"/>
        </w:numPr>
        <w:tabs>
          <w:tab w:val="left" w:pos="4777"/>
        </w:tabs>
        <w:spacing w:beforeLines="50" w:before="156" w:afterLines="50" w:after="156"/>
        <w:ind w:leftChars="172" w:left="361" w:firstLineChars="300" w:firstLine="630"/>
        <w:jc w:val="center"/>
        <w:outlineLvl w:val="2"/>
        <w:rPr>
          <w:rFonts w:eastAsiaTheme="minorEastAsia" w:hAnsiTheme="minorEastAsia"/>
          <w:b/>
          <w:bCs/>
          <w:kern w:val="0"/>
          <w:szCs w:val="21"/>
        </w:rPr>
      </w:pPr>
      <w:r>
        <w:rPr>
          <w:rFonts w:eastAsiaTheme="minorEastAsia" w:hAnsiTheme="minorEastAsia" w:hint="eastAsia"/>
          <w:kern w:val="0"/>
          <w:szCs w:val="21"/>
        </w:rPr>
        <w:t>表</w:t>
      </w:r>
      <w:r>
        <w:rPr>
          <w:rFonts w:eastAsiaTheme="minorEastAsia" w:hAnsiTheme="minorEastAsia" w:hint="eastAsia"/>
          <w:kern w:val="0"/>
          <w:szCs w:val="21"/>
        </w:rPr>
        <w:t xml:space="preserve">1 </w:t>
      </w:r>
      <w:r>
        <w:rPr>
          <w:rFonts w:eastAsiaTheme="minorEastAsia" w:hAnsiTheme="minorEastAsia" w:hint="eastAsia"/>
          <w:kern w:val="0"/>
          <w:szCs w:val="21"/>
        </w:rPr>
        <w:t>评价指标值</w:t>
      </w:r>
    </w:p>
    <w:tbl>
      <w:tblPr>
        <w:tblStyle w:val="afff5"/>
        <w:tblW w:w="9570" w:type="dxa"/>
        <w:tblLayout w:type="fixed"/>
        <w:tblLook w:val="04A0" w:firstRow="1" w:lastRow="0" w:firstColumn="1" w:lastColumn="0" w:noHBand="0" w:noVBand="1"/>
      </w:tblPr>
      <w:tblGrid>
        <w:gridCol w:w="1411"/>
        <w:gridCol w:w="981"/>
        <w:gridCol w:w="2392"/>
        <w:gridCol w:w="2393"/>
        <w:gridCol w:w="2393"/>
      </w:tblGrid>
      <w:tr w:rsidR="00DF13B1" w14:paraId="2157B81E" w14:textId="77777777">
        <w:trPr>
          <w:trHeight w:val="392"/>
        </w:trPr>
        <w:tc>
          <w:tcPr>
            <w:tcW w:w="2392" w:type="dxa"/>
            <w:gridSpan w:val="2"/>
            <w:vMerge w:val="restart"/>
            <w:vAlign w:val="center"/>
          </w:tcPr>
          <w:p w14:paraId="2157B81C"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指标名称</w:t>
            </w:r>
          </w:p>
        </w:tc>
        <w:tc>
          <w:tcPr>
            <w:tcW w:w="7178" w:type="dxa"/>
            <w:gridSpan w:val="3"/>
            <w:vAlign w:val="center"/>
          </w:tcPr>
          <w:p w14:paraId="2157B81D"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指标参考值</w:t>
            </w:r>
          </w:p>
        </w:tc>
      </w:tr>
      <w:tr w:rsidR="00DF13B1" w14:paraId="2157B823" w14:textId="77777777">
        <w:trPr>
          <w:trHeight w:val="362"/>
        </w:trPr>
        <w:tc>
          <w:tcPr>
            <w:tcW w:w="2392" w:type="dxa"/>
            <w:gridSpan w:val="2"/>
            <w:vMerge/>
            <w:vAlign w:val="center"/>
          </w:tcPr>
          <w:p w14:paraId="2157B81F" w14:textId="77777777" w:rsidR="00DF13B1" w:rsidRDefault="00DF13B1">
            <w:pPr>
              <w:widowControl/>
              <w:tabs>
                <w:tab w:val="center" w:pos="4201"/>
                <w:tab w:val="right" w:leader="dot" w:pos="9298"/>
              </w:tabs>
              <w:autoSpaceDE w:val="0"/>
              <w:autoSpaceDN w:val="0"/>
              <w:ind w:firstLineChars="200" w:firstLine="420"/>
              <w:rPr>
                <w:rFonts w:ascii="宋体" w:hAnsi="宋体" w:cs="宋体"/>
                <w:kern w:val="0"/>
                <w:szCs w:val="20"/>
              </w:rPr>
            </w:pPr>
          </w:p>
        </w:tc>
        <w:tc>
          <w:tcPr>
            <w:tcW w:w="2392" w:type="dxa"/>
            <w:vAlign w:val="center"/>
          </w:tcPr>
          <w:p w14:paraId="2157B820"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优秀（</w:t>
            </w:r>
            <w:r>
              <w:rPr>
                <w:rFonts w:ascii="宋体" w:hAnsi="宋体" w:cs="宋体"/>
                <w:kern w:val="0"/>
                <w:szCs w:val="21"/>
              </w:rPr>
              <w:t>A</w:t>
            </w:r>
            <w:r>
              <w:rPr>
                <w:rFonts w:ascii="宋体" w:hAnsi="宋体" w:cs="宋体" w:hint="eastAsia"/>
                <w:kern w:val="0"/>
                <w:szCs w:val="21"/>
              </w:rPr>
              <w:t>级）</w:t>
            </w:r>
          </w:p>
        </w:tc>
        <w:tc>
          <w:tcPr>
            <w:tcW w:w="2393" w:type="dxa"/>
            <w:vAlign w:val="center"/>
          </w:tcPr>
          <w:p w14:paraId="2157B821"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良好（</w:t>
            </w:r>
            <w:r>
              <w:rPr>
                <w:rFonts w:ascii="宋体" w:hAnsi="宋体" w:cs="宋体"/>
                <w:kern w:val="0"/>
                <w:szCs w:val="21"/>
              </w:rPr>
              <w:t>B</w:t>
            </w:r>
            <w:r>
              <w:rPr>
                <w:rFonts w:ascii="宋体" w:hAnsi="宋体" w:cs="宋体" w:hint="eastAsia"/>
                <w:kern w:val="0"/>
                <w:szCs w:val="21"/>
              </w:rPr>
              <w:t>级）</w:t>
            </w:r>
          </w:p>
        </w:tc>
        <w:tc>
          <w:tcPr>
            <w:tcW w:w="2393" w:type="dxa"/>
            <w:vAlign w:val="center"/>
          </w:tcPr>
          <w:p w14:paraId="2157B822"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合格（</w:t>
            </w:r>
            <w:r>
              <w:rPr>
                <w:rFonts w:ascii="宋体" w:hAnsi="宋体" w:cs="宋体"/>
                <w:kern w:val="0"/>
                <w:szCs w:val="21"/>
              </w:rPr>
              <w:t>C</w:t>
            </w:r>
            <w:r>
              <w:rPr>
                <w:rFonts w:ascii="宋体" w:hAnsi="宋体" w:cs="宋体" w:hint="eastAsia"/>
                <w:kern w:val="0"/>
                <w:szCs w:val="21"/>
              </w:rPr>
              <w:t>级）</w:t>
            </w:r>
          </w:p>
        </w:tc>
      </w:tr>
      <w:tr w:rsidR="00DF13B1" w14:paraId="2157B828" w14:textId="77777777">
        <w:trPr>
          <w:trHeight w:val="427"/>
        </w:trPr>
        <w:tc>
          <w:tcPr>
            <w:tcW w:w="2392" w:type="dxa"/>
            <w:gridSpan w:val="2"/>
            <w:vAlign w:val="center"/>
          </w:tcPr>
          <w:p w14:paraId="2157B824"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数量差异率</w:t>
            </w:r>
          </w:p>
        </w:tc>
        <w:tc>
          <w:tcPr>
            <w:tcW w:w="2392" w:type="dxa"/>
            <w:vAlign w:val="center"/>
          </w:tcPr>
          <w:p w14:paraId="2157B825"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w:t>
            </w:r>
            <w:r>
              <w:rPr>
                <w:rFonts w:ascii="宋体" w:hAnsi="宋体" w:cs="宋体"/>
                <w:kern w:val="0"/>
                <w:szCs w:val="21"/>
              </w:rPr>
              <w:t>0.8%</w:t>
            </w:r>
          </w:p>
        </w:tc>
        <w:tc>
          <w:tcPr>
            <w:tcW w:w="2393" w:type="dxa"/>
            <w:vAlign w:val="center"/>
          </w:tcPr>
          <w:p w14:paraId="2157B826"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w:t>
            </w:r>
            <w:r>
              <w:rPr>
                <w:rFonts w:ascii="宋体" w:hAnsi="宋体" w:cs="宋体"/>
                <w:kern w:val="0"/>
                <w:szCs w:val="21"/>
              </w:rPr>
              <w:t>0.8%</w:t>
            </w:r>
            <w:r>
              <w:rPr>
                <w:rFonts w:ascii="宋体" w:hAnsi="宋体" w:cs="宋体" w:hint="eastAsia"/>
                <w:kern w:val="0"/>
                <w:szCs w:val="21"/>
              </w:rPr>
              <w:t>，</w:t>
            </w:r>
            <w:r>
              <w:rPr>
                <w:rFonts w:ascii="宋体" w:hAnsi="宋体" w:cs="宋体"/>
                <w:kern w:val="0"/>
                <w:szCs w:val="21"/>
              </w:rPr>
              <w:t>1.2%]</w:t>
            </w:r>
          </w:p>
        </w:tc>
        <w:tc>
          <w:tcPr>
            <w:tcW w:w="2393" w:type="dxa"/>
            <w:vAlign w:val="center"/>
          </w:tcPr>
          <w:p w14:paraId="2157B827"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1.5%]</w:t>
            </w:r>
          </w:p>
        </w:tc>
      </w:tr>
      <w:tr w:rsidR="00DF13B1" w14:paraId="2157B82F" w14:textId="77777777">
        <w:trPr>
          <w:trHeight w:val="407"/>
        </w:trPr>
        <w:tc>
          <w:tcPr>
            <w:tcW w:w="1411" w:type="dxa"/>
            <w:vMerge w:val="restart"/>
            <w:vAlign w:val="center"/>
          </w:tcPr>
          <w:p w14:paraId="2157B829"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绝对热值差异/</w:t>
            </w:r>
          </w:p>
          <w:p w14:paraId="2157B82A"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mJ/kg</w:t>
            </w:r>
            <w:r>
              <w:rPr>
                <w:rFonts w:ascii="宋体" w:hAnsi="宋体" w:cs="宋体" w:hint="eastAsia"/>
                <w:kern w:val="0"/>
                <w:szCs w:val="21"/>
              </w:rPr>
              <w:t>）</w:t>
            </w:r>
          </w:p>
        </w:tc>
        <w:tc>
          <w:tcPr>
            <w:tcW w:w="981" w:type="dxa"/>
            <w:vAlign w:val="center"/>
          </w:tcPr>
          <w:p w14:paraId="2157B82B" w14:textId="77777777" w:rsidR="00DF13B1" w:rsidRDefault="00714F4B">
            <w:pPr>
              <w:widowControl/>
              <w:tabs>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单航次</w:t>
            </w:r>
          </w:p>
        </w:tc>
        <w:tc>
          <w:tcPr>
            <w:tcW w:w="2392" w:type="dxa"/>
            <w:vAlign w:val="center"/>
          </w:tcPr>
          <w:p w14:paraId="2157B82C"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0.42</w:t>
            </w:r>
          </w:p>
        </w:tc>
        <w:tc>
          <w:tcPr>
            <w:tcW w:w="2393" w:type="dxa"/>
            <w:vAlign w:val="center"/>
          </w:tcPr>
          <w:p w14:paraId="2157B82D"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0.42</w:t>
            </w:r>
            <w:r>
              <w:rPr>
                <w:rFonts w:ascii="宋体" w:hAnsi="宋体" w:cs="宋体" w:hint="eastAsia"/>
                <w:kern w:val="0"/>
                <w:szCs w:val="21"/>
              </w:rPr>
              <w:t>，</w:t>
            </w:r>
            <w:r>
              <w:rPr>
                <w:rFonts w:ascii="宋体" w:hAnsi="宋体" w:cs="宋体"/>
                <w:kern w:val="0"/>
                <w:szCs w:val="21"/>
              </w:rPr>
              <w:t>0.46]</w:t>
            </w:r>
          </w:p>
        </w:tc>
        <w:tc>
          <w:tcPr>
            <w:tcW w:w="2393" w:type="dxa"/>
            <w:vAlign w:val="center"/>
          </w:tcPr>
          <w:p w14:paraId="2157B82E"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0.46</w:t>
            </w:r>
            <w:r>
              <w:rPr>
                <w:rFonts w:ascii="宋体" w:hAnsi="宋体" w:cs="宋体" w:hint="eastAsia"/>
                <w:kern w:val="0"/>
                <w:szCs w:val="21"/>
              </w:rPr>
              <w:t>，</w:t>
            </w:r>
            <w:r>
              <w:rPr>
                <w:rFonts w:ascii="宋体" w:hAnsi="宋体" w:cs="宋体"/>
                <w:kern w:val="0"/>
                <w:szCs w:val="21"/>
              </w:rPr>
              <w:t>0.50]</w:t>
            </w:r>
          </w:p>
        </w:tc>
      </w:tr>
      <w:tr w:rsidR="00DF13B1" w14:paraId="2157B835" w14:textId="77777777">
        <w:tc>
          <w:tcPr>
            <w:tcW w:w="1411" w:type="dxa"/>
            <w:vMerge/>
            <w:vAlign w:val="center"/>
          </w:tcPr>
          <w:p w14:paraId="2157B830" w14:textId="77777777" w:rsidR="00DF13B1" w:rsidRDefault="00DF13B1">
            <w:pPr>
              <w:widowControl/>
              <w:tabs>
                <w:tab w:val="center" w:pos="4201"/>
                <w:tab w:val="right" w:leader="dot" w:pos="9298"/>
              </w:tabs>
              <w:autoSpaceDE w:val="0"/>
              <w:autoSpaceDN w:val="0"/>
              <w:jc w:val="center"/>
              <w:rPr>
                <w:rFonts w:ascii="宋体" w:hAnsi="宋体" w:cs="宋体"/>
                <w:kern w:val="0"/>
                <w:szCs w:val="21"/>
              </w:rPr>
            </w:pPr>
          </w:p>
        </w:tc>
        <w:tc>
          <w:tcPr>
            <w:tcW w:w="981" w:type="dxa"/>
            <w:vAlign w:val="center"/>
          </w:tcPr>
          <w:p w14:paraId="2157B831" w14:textId="77777777" w:rsidR="00DF13B1" w:rsidRDefault="00714F4B">
            <w:pPr>
              <w:widowControl/>
              <w:tabs>
                <w:tab w:val="center" w:pos="4201"/>
                <w:tab w:val="right" w:leader="dot" w:pos="9298"/>
              </w:tabs>
              <w:autoSpaceDE w:val="0"/>
              <w:autoSpaceDN w:val="0"/>
              <w:jc w:val="center"/>
              <w:rPr>
                <w:rFonts w:ascii="宋体" w:hAnsi="宋体" w:cs="宋体"/>
                <w:kern w:val="0"/>
                <w:sz w:val="18"/>
                <w:szCs w:val="18"/>
              </w:rPr>
            </w:pPr>
            <w:r>
              <w:rPr>
                <w:rFonts w:ascii="宋体" w:hAnsi="宋体" w:cs="宋体" w:hint="eastAsia"/>
                <w:kern w:val="0"/>
                <w:sz w:val="18"/>
                <w:szCs w:val="18"/>
              </w:rPr>
              <w:t>批量运输</w:t>
            </w:r>
          </w:p>
        </w:tc>
        <w:tc>
          <w:tcPr>
            <w:tcW w:w="2392" w:type="dxa"/>
            <w:vAlign w:val="center"/>
          </w:tcPr>
          <w:p w14:paraId="2157B832"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0.33</w:t>
            </w:r>
          </w:p>
        </w:tc>
        <w:tc>
          <w:tcPr>
            <w:tcW w:w="2393" w:type="dxa"/>
            <w:vAlign w:val="center"/>
          </w:tcPr>
          <w:p w14:paraId="2157B833"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0.33</w:t>
            </w:r>
            <w:r>
              <w:rPr>
                <w:rFonts w:ascii="宋体" w:hAnsi="宋体" w:cs="宋体" w:hint="eastAsia"/>
                <w:kern w:val="0"/>
                <w:szCs w:val="21"/>
              </w:rPr>
              <w:t>，</w:t>
            </w:r>
            <w:r>
              <w:rPr>
                <w:rFonts w:ascii="宋体" w:hAnsi="宋体" w:cs="宋体"/>
                <w:kern w:val="0"/>
                <w:szCs w:val="21"/>
              </w:rPr>
              <w:t>0.38]</w:t>
            </w:r>
          </w:p>
        </w:tc>
        <w:tc>
          <w:tcPr>
            <w:tcW w:w="2393" w:type="dxa"/>
            <w:vAlign w:val="center"/>
          </w:tcPr>
          <w:p w14:paraId="2157B834"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0.38</w:t>
            </w:r>
            <w:r>
              <w:rPr>
                <w:rFonts w:ascii="宋体" w:hAnsi="宋体" w:cs="宋体" w:hint="eastAsia"/>
                <w:kern w:val="0"/>
                <w:szCs w:val="21"/>
              </w:rPr>
              <w:t>，</w:t>
            </w:r>
            <w:r>
              <w:rPr>
                <w:rFonts w:ascii="宋体" w:hAnsi="宋体" w:cs="宋体"/>
                <w:kern w:val="0"/>
                <w:szCs w:val="21"/>
              </w:rPr>
              <w:t>0.42]</w:t>
            </w:r>
          </w:p>
        </w:tc>
      </w:tr>
      <w:tr w:rsidR="00DF13B1" w14:paraId="2157B83B" w14:textId="77777777">
        <w:tc>
          <w:tcPr>
            <w:tcW w:w="2392" w:type="dxa"/>
            <w:gridSpan w:val="2"/>
            <w:vAlign w:val="center"/>
          </w:tcPr>
          <w:p w14:paraId="2157B836"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综合热值差异/</w:t>
            </w:r>
          </w:p>
          <w:p w14:paraId="2157B837"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mJ/kg</w:t>
            </w:r>
            <w:r>
              <w:rPr>
                <w:rFonts w:ascii="宋体" w:hAnsi="宋体" w:cs="宋体" w:hint="eastAsia"/>
                <w:kern w:val="0"/>
                <w:szCs w:val="21"/>
              </w:rPr>
              <w:t>）</w:t>
            </w:r>
          </w:p>
        </w:tc>
        <w:tc>
          <w:tcPr>
            <w:tcW w:w="2392" w:type="dxa"/>
            <w:vAlign w:val="center"/>
          </w:tcPr>
          <w:p w14:paraId="2157B838"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0.33</w:t>
            </w:r>
          </w:p>
        </w:tc>
        <w:tc>
          <w:tcPr>
            <w:tcW w:w="2393" w:type="dxa"/>
            <w:vAlign w:val="center"/>
          </w:tcPr>
          <w:p w14:paraId="2157B839"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0.33</w:t>
            </w:r>
            <w:r>
              <w:rPr>
                <w:rFonts w:ascii="宋体" w:hAnsi="宋体" w:cs="宋体" w:hint="eastAsia"/>
                <w:kern w:val="0"/>
                <w:szCs w:val="21"/>
              </w:rPr>
              <w:t>，</w:t>
            </w:r>
            <w:r>
              <w:rPr>
                <w:rFonts w:ascii="宋体" w:hAnsi="宋体" w:cs="宋体"/>
                <w:kern w:val="0"/>
                <w:szCs w:val="21"/>
              </w:rPr>
              <w:t>0.38]</w:t>
            </w:r>
          </w:p>
        </w:tc>
        <w:tc>
          <w:tcPr>
            <w:tcW w:w="2393" w:type="dxa"/>
            <w:vAlign w:val="center"/>
          </w:tcPr>
          <w:p w14:paraId="2157B83A" w14:textId="77777777" w:rsidR="00DF13B1" w:rsidRDefault="00714F4B">
            <w:pPr>
              <w:widowControl/>
              <w:tabs>
                <w:tab w:val="center" w:pos="4201"/>
                <w:tab w:val="right" w:leader="dot" w:pos="9298"/>
              </w:tabs>
              <w:autoSpaceDE w:val="0"/>
              <w:autoSpaceDN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0.38</w:t>
            </w:r>
            <w:r>
              <w:rPr>
                <w:rFonts w:ascii="宋体" w:hAnsi="宋体" w:cs="宋体" w:hint="eastAsia"/>
                <w:kern w:val="0"/>
                <w:szCs w:val="21"/>
              </w:rPr>
              <w:t>，</w:t>
            </w:r>
            <w:r>
              <w:rPr>
                <w:rFonts w:ascii="宋体" w:hAnsi="宋体" w:cs="宋体"/>
                <w:kern w:val="0"/>
                <w:szCs w:val="21"/>
              </w:rPr>
              <w:t>0.42]</w:t>
            </w:r>
          </w:p>
        </w:tc>
      </w:tr>
      <w:tr w:rsidR="00DF13B1" w14:paraId="2157B840" w14:textId="77777777">
        <w:trPr>
          <w:trHeight w:val="362"/>
        </w:trPr>
        <w:tc>
          <w:tcPr>
            <w:tcW w:w="2392" w:type="dxa"/>
            <w:gridSpan w:val="2"/>
            <w:vAlign w:val="center"/>
          </w:tcPr>
          <w:p w14:paraId="2157B83C"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物流准时率</w:t>
            </w:r>
          </w:p>
        </w:tc>
        <w:tc>
          <w:tcPr>
            <w:tcW w:w="2392" w:type="dxa"/>
            <w:vAlign w:val="center"/>
          </w:tcPr>
          <w:p w14:paraId="2157B83D"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w:t>
            </w:r>
            <w:r>
              <w:rPr>
                <w:rFonts w:ascii="宋体" w:hAnsi="宋体" w:cs="宋体"/>
                <w:kern w:val="0"/>
                <w:szCs w:val="21"/>
              </w:rPr>
              <w:t>95%</w:t>
            </w:r>
          </w:p>
        </w:tc>
        <w:tc>
          <w:tcPr>
            <w:tcW w:w="2393" w:type="dxa"/>
            <w:vAlign w:val="center"/>
          </w:tcPr>
          <w:p w14:paraId="2157B83E"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kern w:val="0"/>
                <w:szCs w:val="21"/>
              </w:rPr>
              <w:t>[85%</w:t>
            </w:r>
            <w:r>
              <w:rPr>
                <w:rFonts w:ascii="宋体" w:hAnsi="宋体" w:cs="宋体" w:hint="eastAsia"/>
                <w:kern w:val="0"/>
                <w:szCs w:val="21"/>
              </w:rPr>
              <w:t>，</w:t>
            </w:r>
            <w:r>
              <w:rPr>
                <w:rFonts w:ascii="宋体" w:hAnsi="宋体" w:cs="宋体"/>
                <w:kern w:val="0"/>
                <w:szCs w:val="21"/>
              </w:rPr>
              <w:t>95%</w:t>
            </w:r>
            <w:r>
              <w:rPr>
                <w:rFonts w:ascii="宋体" w:hAnsi="宋体" w:cs="宋体" w:hint="eastAsia"/>
                <w:kern w:val="0"/>
                <w:szCs w:val="21"/>
              </w:rPr>
              <w:t>）</w:t>
            </w:r>
          </w:p>
        </w:tc>
        <w:tc>
          <w:tcPr>
            <w:tcW w:w="2393" w:type="dxa"/>
            <w:vAlign w:val="center"/>
          </w:tcPr>
          <w:p w14:paraId="2157B83F"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kern w:val="0"/>
                <w:szCs w:val="21"/>
              </w:rPr>
              <w:t>[75%</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w:t>
            </w:r>
          </w:p>
        </w:tc>
      </w:tr>
      <w:tr w:rsidR="00DF13B1" w14:paraId="2157B845" w14:textId="77777777">
        <w:trPr>
          <w:trHeight w:val="347"/>
        </w:trPr>
        <w:tc>
          <w:tcPr>
            <w:tcW w:w="2392" w:type="dxa"/>
            <w:gridSpan w:val="2"/>
            <w:vAlign w:val="center"/>
          </w:tcPr>
          <w:p w14:paraId="2157B841"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客户满意度</w:t>
            </w:r>
          </w:p>
        </w:tc>
        <w:tc>
          <w:tcPr>
            <w:tcW w:w="2392" w:type="dxa"/>
            <w:vAlign w:val="center"/>
          </w:tcPr>
          <w:p w14:paraId="2157B842"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hint="eastAsia"/>
                <w:kern w:val="0"/>
                <w:szCs w:val="21"/>
              </w:rPr>
              <w:t>≥</w:t>
            </w:r>
            <w:r>
              <w:rPr>
                <w:rFonts w:ascii="宋体" w:hAnsi="宋体" w:cs="宋体"/>
                <w:kern w:val="0"/>
                <w:szCs w:val="21"/>
              </w:rPr>
              <w:t>95%</w:t>
            </w:r>
          </w:p>
        </w:tc>
        <w:tc>
          <w:tcPr>
            <w:tcW w:w="2393" w:type="dxa"/>
            <w:vAlign w:val="center"/>
          </w:tcPr>
          <w:p w14:paraId="2157B843"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kern w:val="0"/>
                <w:szCs w:val="21"/>
              </w:rPr>
              <w:t>[85%</w:t>
            </w:r>
            <w:r>
              <w:rPr>
                <w:rFonts w:ascii="宋体" w:hAnsi="宋体" w:cs="宋体" w:hint="eastAsia"/>
                <w:kern w:val="0"/>
                <w:szCs w:val="21"/>
              </w:rPr>
              <w:t>，</w:t>
            </w:r>
            <w:r>
              <w:rPr>
                <w:rFonts w:ascii="宋体" w:hAnsi="宋体" w:cs="宋体"/>
                <w:kern w:val="0"/>
                <w:szCs w:val="21"/>
              </w:rPr>
              <w:t>95%</w:t>
            </w:r>
            <w:r>
              <w:rPr>
                <w:rFonts w:ascii="宋体" w:hAnsi="宋体" w:cs="宋体" w:hint="eastAsia"/>
                <w:kern w:val="0"/>
                <w:szCs w:val="21"/>
              </w:rPr>
              <w:t>）</w:t>
            </w:r>
          </w:p>
        </w:tc>
        <w:tc>
          <w:tcPr>
            <w:tcW w:w="2393" w:type="dxa"/>
            <w:vAlign w:val="center"/>
          </w:tcPr>
          <w:p w14:paraId="2157B844" w14:textId="77777777" w:rsidR="00DF13B1" w:rsidRDefault="00714F4B">
            <w:pPr>
              <w:widowControl/>
              <w:tabs>
                <w:tab w:val="center" w:pos="4201"/>
                <w:tab w:val="right" w:leader="dot" w:pos="9298"/>
              </w:tabs>
              <w:autoSpaceDE w:val="0"/>
              <w:autoSpaceDN w:val="0"/>
              <w:jc w:val="center"/>
              <w:rPr>
                <w:rFonts w:ascii="宋体" w:hAnsi="宋体" w:cs="宋体"/>
                <w:kern w:val="0"/>
                <w:szCs w:val="20"/>
              </w:rPr>
            </w:pPr>
            <w:r>
              <w:rPr>
                <w:rFonts w:ascii="宋体" w:hAnsi="宋体" w:cs="宋体"/>
                <w:kern w:val="0"/>
                <w:szCs w:val="21"/>
              </w:rPr>
              <w:t>[75%</w:t>
            </w:r>
            <w:r>
              <w:rPr>
                <w:rFonts w:ascii="宋体" w:hAnsi="宋体" w:cs="宋体" w:hint="eastAsia"/>
                <w:kern w:val="0"/>
                <w:szCs w:val="21"/>
              </w:rPr>
              <w:t>，</w:t>
            </w:r>
            <w:r>
              <w:rPr>
                <w:rFonts w:ascii="宋体" w:hAnsi="宋体" w:cs="宋体"/>
                <w:kern w:val="0"/>
                <w:szCs w:val="21"/>
              </w:rPr>
              <w:t>85%</w:t>
            </w:r>
            <w:r>
              <w:rPr>
                <w:rFonts w:ascii="宋体" w:hAnsi="宋体" w:cs="宋体" w:hint="eastAsia"/>
                <w:kern w:val="0"/>
                <w:szCs w:val="21"/>
              </w:rPr>
              <w:t>）</w:t>
            </w:r>
          </w:p>
        </w:tc>
      </w:tr>
      <w:tr w:rsidR="00DF13B1" w14:paraId="2157B847" w14:textId="77777777">
        <w:tc>
          <w:tcPr>
            <w:tcW w:w="9570" w:type="dxa"/>
            <w:gridSpan w:val="5"/>
            <w:vAlign w:val="center"/>
          </w:tcPr>
          <w:p w14:paraId="2157B846" w14:textId="77777777" w:rsidR="00DF13B1" w:rsidRDefault="00714F4B">
            <w:pPr>
              <w:widowControl/>
              <w:tabs>
                <w:tab w:val="center" w:pos="4201"/>
                <w:tab w:val="right" w:leader="dot" w:pos="9298"/>
              </w:tabs>
              <w:autoSpaceDE w:val="0"/>
              <w:autoSpaceDN w:val="0"/>
              <w:ind w:firstLineChars="100" w:firstLine="210"/>
              <w:rPr>
                <w:rFonts w:ascii="宋体" w:hAnsi="宋体" w:cs="宋体"/>
                <w:kern w:val="0"/>
                <w:szCs w:val="21"/>
              </w:rPr>
            </w:pPr>
            <w:r>
              <w:rPr>
                <w:rFonts w:ascii="宋体" w:hAnsi="宋体" w:cs="宋体" w:hint="eastAsia"/>
                <w:kern w:val="0"/>
                <w:szCs w:val="21"/>
              </w:rPr>
              <w:t>注：涉及到多环节运输，每中转转运一次数量差异指标加</w:t>
            </w:r>
            <w:r>
              <w:rPr>
                <w:rFonts w:ascii="宋体" w:hAnsi="宋体" w:cs="宋体"/>
                <w:kern w:val="0"/>
                <w:szCs w:val="21"/>
              </w:rPr>
              <w:t>0.3%</w:t>
            </w:r>
            <w:r>
              <w:rPr>
                <w:rFonts w:ascii="宋体" w:hAnsi="宋体" w:cs="宋体" w:hint="eastAsia"/>
                <w:kern w:val="0"/>
                <w:szCs w:val="21"/>
              </w:rPr>
              <w:t>；采用综合热值差异评价的，数量差异率不作为有效评价指标。</w:t>
            </w:r>
          </w:p>
        </w:tc>
      </w:tr>
    </w:tbl>
    <w:p w14:paraId="2157B848" w14:textId="77777777" w:rsidR="00DF13B1" w:rsidRDefault="00714F4B">
      <w:pPr>
        <w:pStyle w:val="a2"/>
        <w:spacing w:before="156" w:after="156"/>
        <w:rPr>
          <w:rFonts w:hAnsi="黑体"/>
          <w:b/>
          <w:bCs/>
        </w:rPr>
      </w:pPr>
      <w:r>
        <w:rPr>
          <w:rFonts w:hAnsi="黑体" w:hint="eastAsia"/>
          <w:b/>
          <w:bCs/>
        </w:rPr>
        <w:t>评价指标计算方法</w:t>
      </w:r>
    </w:p>
    <w:p w14:paraId="2157B849" w14:textId="77777777" w:rsidR="00DF13B1" w:rsidRDefault="00714F4B">
      <w:pPr>
        <w:pStyle w:val="a3"/>
        <w:spacing w:before="156" w:after="156"/>
        <w:rPr>
          <w:rFonts w:hAnsi="黑体"/>
          <w:b/>
        </w:rPr>
      </w:pPr>
      <w:r>
        <w:rPr>
          <w:rFonts w:hAnsi="黑体" w:hint="eastAsia"/>
          <w:b/>
        </w:rPr>
        <w:t>数量差异率</w:t>
      </w:r>
    </w:p>
    <w:p w14:paraId="2157B84A" w14:textId="7777777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按公式（</w:t>
      </w:r>
      <w:r>
        <w:rPr>
          <w:rFonts w:ascii="Times New Roman" w:eastAsiaTheme="minorEastAsia" w:hAnsiTheme="minorEastAsia"/>
        </w:rPr>
        <w:t>1</w:t>
      </w:r>
      <w:r>
        <w:rPr>
          <w:rFonts w:ascii="Times New Roman" w:eastAsiaTheme="minorEastAsia" w:hAnsiTheme="minorEastAsia" w:hint="eastAsia"/>
        </w:rPr>
        <w:t>）计算：</w:t>
      </w:r>
    </w:p>
    <w:p w14:paraId="2157B84B" w14:textId="17E213ED" w:rsidR="00DF13B1" w:rsidRPr="00AD6EAB" w:rsidRDefault="00AD6EAB" w:rsidP="00AD6EAB">
      <w:pPr>
        <w:pStyle w:val="a2"/>
        <w:numPr>
          <w:ilvl w:val="0"/>
          <w:numId w:val="0"/>
        </w:numPr>
        <w:spacing w:before="156" w:after="156"/>
        <w:ind w:firstLineChars="200" w:firstLine="420"/>
        <w:jc w:val="right"/>
        <w:rPr>
          <w:rFonts w:ascii="Times New Roman" w:eastAsiaTheme="minorEastAsia" w:hAnsiTheme="minorEastAsia"/>
          <w:sz w:val="32"/>
        </w:rPr>
      </w:pPr>
      <w:r w:rsidRPr="00AD6EAB">
        <w:rPr>
          <w:rFonts w:ascii="Times New Roman" w:eastAsiaTheme="minorEastAsia" w:hAnsiTheme="minorEastAsia"/>
        </w:rPr>
        <w:t>Q</w:t>
      </w:r>
      <w:r w:rsidR="00714F4B" w:rsidRPr="00AD6EAB">
        <w:rPr>
          <w:rFonts w:ascii="Times New Roman" w:eastAsiaTheme="minorEastAsia" w:hAnsiTheme="minorEastAsia" w:hint="eastAsia"/>
        </w:rPr>
        <w:t>=[1</w:t>
      </w:r>
      <w:r w:rsidR="00714F4B" w:rsidRPr="00AD6EAB">
        <w:rPr>
          <w:rFonts w:ascii="Times New Roman" w:eastAsiaTheme="minorEastAsia" w:hAnsiTheme="minorEastAsia" w:hint="eastAsia"/>
        </w:rPr>
        <w:t>—</w:t>
      </w:r>
      <w:r w:rsidR="00714F4B" w:rsidRPr="00AD6EAB">
        <w:rPr>
          <w:rFonts w:ascii="Times New Roman" w:eastAsiaTheme="minorEastAsia" w:hAnsiTheme="minorEastAsia" w:hint="eastAsia"/>
          <w:sz w:val="32"/>
        </w:rPr>
        <w:t>（</w:t>
      </w:r>
      <m:oMath>
        <m:f>
          <m:fPr>
            <m:ctrlPr>
              <w:rPr>
                <w:rFonts w:ascii="Cambria Math" w:eastAsiaTheme="minorEastAsia" w:hAnsi="Cambria Math"/>
                <w:sz w:val="32"/>
              </w:rPr>
            </m:ctrlPr>
          </m:fPr>
          <m:num>
            <m:r>
              <w:rPr>
                <w:rFonts w:ascii="Cambria Math" w:eastAsiaTheme="minorEastAsia" w:hAnsi="Cambria Math" w:hint="eastAsia"/>
                <w:sz w:val="32"/>
              </w:rPr>
              <m:t>a</m:t>
            </m:r>
          </m:num>
          <m:den>
            <m:r>
              <w:rPr>
                <w:rFonts w:ascii="Cambria Math" w:eastAsiaTheme="minorEastAsia" w:hAnsi="Cambria Math"/>
                <w:sz w:val="32"/>
              </w:rPr>
              <m:t>b</m:t>
            </m:r>
          </m:den>
        </m:f>
      </m:oMath>
      <w:r w:rsidR="00714F4B" w:rsidRPr="00AD6EAB">
        <w:rPr>
          <w:rFonts w:ascii="Times New Roman" w:eastAsiaTheme="minorEastAsia" w:hAnsiTheme="minorEastAsia" w:hint="eastAsia"/>
          <w:sz w:val="32"/>
        </w:rPr>
        <w:t>）</w:t>
      </w:r>
      <w:r w:rsidR="00714F4B" w:rsidRPr="00AD6EAB">
        <w:rPr>
          <w:rFonts w:ascii="Times New Roman" w:eastAsiaTheme="minorEastAsia" w:hAnsiTheme="minorEastAsia" w:hint="eastAsia"/>
        </w:rPr>
        <w:t>]</w:t>
      </w:r>
      <w:r w:rsidR="00714F4B" w:rsidRPr="00AD6EAB">
        <w:rPr>
          <w:rFonts w:ascii="Times New Roman" w:eastAsiaTheme="minorEastAsia" w:hAnsiTheme="minorEastAsia" w:hint="eastAsia"/>
        </w:rPr>
        <w:t>×</w:t>
      </w:r>
      <w:r w:rsidR="00714F4B" w:rsidRPr="00AD6EAB">
        <w:rPr>
          <w:rFonts w:ascii="Times New Roman" w:eastAsiaTheme="minorEastAsia" w:hAnsiTheme="minorEastAsia" w:hint="eastAsia"/>
        </w:rPr>
        <w:t>100%</w:t>
      </w:r>
      <w:r w:rsidR="00992D9D">
        <w:rPr>
          <w:rFonts w:ascii="Times New Roman" w:eastAsiaTheme="minorEastAsia" w:hAnsiTheme="minorEastAsia" w:hint="eastAsia"/>
        </w:rPr>
        <w:t xml:space="preserve"> </w:t>
      </w:r>
      <w:r w:rsidR="00992D9D">
        <w:rPr>
          <w:rFonts w:ascii="Times New Roman" w:eastAsiaTheme="minorEastAsia" w:hAnsiTheme="minorEastAsia"/>
        </w:rPr>
        <w:t xml:space="preserve"> </w:t>
      </w:r>
      <w:r w:rsidR="00714F4B" w:rsidRPr="00AD6EAB">
        <w:rPr>
          <w:rFonts w:ascii="Times New Roman" w:eastAsiaTheme="minorEastAsia" w:hAnsiTheme="minorEastAsia" w:hint="eastAsia"/>
        </w:rPr>
        <w:t>……</w:t>
      </w:r>
      <w:r>
        <w:rPr>
          <w:rFonts w:ascii="Times New Roman" w:eastAsiaTheme="minorEastAsia" w:hAnsiTheme="minorEastAsia" w:hint="eastAsia"/>
        </w:rPr>
        <w:t>………………</w:t>
      </w:r>
      <w:r w:rsidRPr="00AD6EAB">
        <w:rPr>
          <w:rFonts w:ascii="Times New Roman" w:eastAsiaTheme="minorEastAsia" w:hAnsiTheme="minorEastAsia" w:hint="eastAsia"/>
        </w:rPr>
        <w:t>…………</w:t>
      </w:r>
      <w:r w:rsidR="00714F4B" w:rsidRPr="00AD6EAB">
        <w:rPr>
          <w:rFonts w:ascii="Times New Roman" w:eastAsiaTheme="minorEastAsia" w:hAnsiTheme="minorEastAsia"/>
        </w:rPr>
        <w:t>……</w:t>
      </w:r>
      <w:r w:rsidR="00714F4B" w:rsidRPr="00AD6EAB">
        <w:rPr>
          <w:rFonts w:ascii="Times New Roman" w:eastAsiaTheme="minorEastAsia" w:hAnsiTheme="minorEastAsia" w:hint="eastAsia"/>
        </w:rPr>
        <w:t>(</w:t>
      </w:r>
      <w:r w:rsidR="00714F4B" w:rsidRPr="00AD6EAB">
        <w:rPr>
          <w:rFonts w:ascii="Times New Roman" w:eastAsiaTheme="minorEastAsia" w:hAnsiTheme="minorEastAsia"/>
        </w:rPr>
        <w:t>1</w:t>
      </w:r>
      <w:r w:rsidR="00714F4B" w:rsidRPr="00AD6EAB">
        <w:rPr>
          <w:rFonts w:ascii="Times New Roman" w:eastAsiaTheme="minorEastAsia" w:hAnsiTheme="minorEastAsia" w:hint="eastAsia"/>
        </w:rPr>
        <w:t>)</w:t>
      </w:r>
    </w:p>
    <w:p w14:paraId="5E50F0A4" w14:textId="2193959D" w:rsidR="00C45D1A" w:rsidRDefault="00C45D1A">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式中：</w:t>
      </w:r>
    </w:p>
    <w:p w14:paraId="35DF65DA" w14:textId="5B1FF274" w:rsidR="00C45D1A" w:rsidRPr="00AD6EAB" w:rsidRDefault="00AD6EAB" w:rsidP="00AD6EAB">
      <w:pPr>
        <w:pStyle w:val="a2"/>
        <w:numPr>
          <w:ilvl w:val="0"/>
          <w:numId w:val="0"/>
        </w:numPr>
        <w:spacing w:before="156" w:after="156"/>
        <w:ind w:firstLineChars="200" w:firstLine="420"/>
        <w:rPr>
          <w:rFonts w:ascii="Times New Roman" w:eastAsiaTheme="minorEastAsia" w:hAnsiTheme="minorEastAsia"/>
        </w:rPr>
      </w:pPr>
      <w:r w:rsidRPr="00AD6EAB">
        <w:rPr>
          <w:rFonts w:ascii="Times New Roman" w:eastAsiaTheme="minorEastAsia" w:hAnsiTheme="minorEastAsia"/>
        </w:rPr>
        <w:t>Q</w:t>
      </w:r>
      <w:r w:rsidR="00C45D1A" w:rsidRPr="00AD6EAB">
        <w:rPr>
          <w:rFonts w:ascii="Times New Roman" w:eastAsiaTheme="minorEastAsia" w:hAnsiTheme="minorEastAsia" w:hint="eastAsia"/>
        </w:rPr>
        <w:t>——数量差异率</w:t>
      </w:r>
      <w:r w:rsidRPr="00AD6EAB">
        <w:rPr>
          <w:rFonts w:ascii="Times New Roman" w:eastAsiaTheme="minorEastAsia" w:hAnsiTheme="minorEastAsia" w:hint="eastAsia"/>
        </w:rPr>
        <w:t>；</w:t>
      </w:r>
    </w:p>
    <w:p w14:paraId="73A539D5" w14:textId="579C8B79" w:rsidR="00AD6EAB" w:rsidRPr="00AD6EAB" w:rsidRDefault="00AD6EAB" w:rsidP="00AD6EAB">
      <w:pPr>
        <w:pStyle w:val="a2"/>
        <w:numPr>
          <w:ilvl w:val="0"/>
          <w:numId w:val="0"/>
        </w:numPr>
        <w:spacing w:before="156" w:after="156"/>
        <w:ind w:firstLineChars="200" w:firstLine="420"/>
        <w:rPr>
          <w:rFonts w:ascii="Times New Roman" w:eastAsiaTheme="minorEastAsia" w:hAnsiTheme="minorEastAsia"/>
        </w:rPr>
      </w:pPr>
      <w:r w:rsidRPr="00AD6EAB">
        <w:rPr>
          <w:rFonts w:ascii="Times New Roman" w:eastAsiaTheme="minorEastAsia" w:hAnsiTheme="minorEastAsia" w:hint="eastAsia"/>
        </w:rPr>
        <w:t>a</w:t>
      </w:r>
      <w:r w:rsidRPr="00AD6EAB">
        <w:rPr>
          <w:rFonts w:ascii="Times New Roman" w:eastAsiaTheme="minorEastAsia" w:hAnsiTheme="minorEastAsia" w:hint="eastAsia"/>
        </w:rPr>
        <w:t>——评价期内到港货物总量</w:t>
      </w:r>
      <w:r>
        <w:rPr>
          <w:rFonts w:ascii="Times New Roman" w:eastAsiaTheme="minorEastAsia" w:hAnsiTheme="minorEastAsia" w:hint="eastAsia"/>
        </w:rPr>
        <w:t>；</w:t>
      </w:r>
    </w:p>
    <w:p w14:paraId="41C91302" w14:textId="503AEED1" w:rsidR="00AD6EAB" w:rsidRPr="00AD6EAB" w:rsidRDefault="00AD6EAB" w:rsidP="00AD6EAB">
      <w:pPr>
        <w:pStyle w:val="a2"/>
        <w:numPr>
          <w:ilvl w:val="0"/>
          <w:numId w:val="0"/>
        </w:numPr>
        <w:spacing w:before="156" w:after="156"/>
        <w:ind w:firstLineChars="200" w:firstLine="420"/>
        <w:rPr>
          <w:rFonts w:ascii="Times New Roman" w:eastAsiaTheme="minorEastAsia" w:hAnsiTheme="minorEastAsia"/>
        </w:rPr>
      </w:pPr>
      <w:r w:rsidRPr="00AD6EAB">
        <w:rPr>
          <w:rFonts w:ascii="Times New Roman" w:eastAsiaTheme="minorEastAsia" w:hAnsiTheme="minorEastAsia" w:hint="eastAsia"/>
        </w:rPr>
        <w:lastRenderedPageBreak/>
        <w:t>b</w:t>
      </w:r>
      <w:r w:rsidRPr="00AD6EAB">
        <w:rPr>
          <w:rFonts w:ascii="Times New Roman" w:eastAsiaTheme="minorEastAsia" w:hAnsiTheme="minorEastAsia" w:hint="eastAsia"/>
        </w:rPr>
        <w:t>——评价期内出港货物总量</w:t>
      </w:r>
      <w:r>
        <w:rPr>
          <w:rFonts w:ascii="Times New Roman" w:eastAsiaTheme="minorEastAsia" w:hAnsiTheme="minorEastAsia" w:hint="eastAsia"/>
        </w:rPr>
        <w:t>。</w:t>
      </w:r>
    </w:p>
    <w:p w14:paraId="2157B84C" w14:textId="19776928" w:rsidR="00DF13B1" w:rsidRPr="00992D9D" w:rsidRDefault="00992D9D" w:rsidP="00992D9D">
      <w:pPr>
        <w:pStyle w:val="afff2"/>
        <w:ind w:firstLine="360"/>
        <w:rPr>
          <w:sz w:val="18"/>
          <w:szCs w:val="18"/>
        </w:rPr>
      </w:pPr>
      <w:r w:rsidRPr="00992D9D">
        <w:rPr>
          <w:rFonts w:hint="eastAsia"/>
          <w:sz w:val="18"/>
          <w:szCs w:val="18"/>
        </w:rPr>
        <w:t>注：</w:t>
      </w:r>
      <w:r w:rsidR="00714F4B" w:rsidRPr="00992D9D">
        <w:rPr>
          <w:rFonts w:hint="eastAsia"/>
          <w:sz w:val="18"/>
          <w:szCs w:val="18"/>
        </w:rPr>
        <w:t>数量差异率越低，物流服务评价越好。</w:t>
      </w:r>
    </w:p>
    <w:p w14:paraId="2157B84D" w14:textId="6FE06FAB" w:rsidR="00DF13B1" w:rsidRDefault="00C45D1A">
      <w:pPr>
        <w:pStyle w:val="a3"/>
        <w:spacing w:before="156" w:after="156"/>
        <w:rPr>
          <w:rFonts w:hAnsi="黑体"/>
          <w:b/>
        </w:rPr>
      </w:pPr>
      <w:r>
        <w:rPr>
          <w:rFonts w:hAnsi="黑体" w:hint="eastAsia"/>
          <w:b/>
        </w:rPr>
        <w:t>绝对</w:t>
      </w:r>
      <w:r w:rsidR="00714F4B">
        <w:rPr>
          <w:rFonts w:hAnsi="黑体" w:hint="eastAsia"/>
          <w:b/>
        </w:rPr>
        <w:t>热值差异</w:t>
      </w:r>
    </w:p>
    <w:p w14:paraId="2157B84E" w14:textId="382689E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按公式（</w:t>
      </w:r>
      <w:r>
        <w:rPr>
          <w:rFonts w:ascii="Times New Roman" w:eastAsiaTheme="minorEastAsia" w:hAnsiTheme="minorEastAsia"/>
        </w:rPr>
        <w:t>2</w:t>
      </w:r>
      <w:r>
        <w:rPr>
          <w:rFonts w:ascii="Times New Roman" w:eastAsiaTheme="minorEastAsia" w:hAnsiTheme="minorEastAsia" w:hint="eastAsia"/>
        </w:rPr>
        <w:t>）计算：</w:t>
      </w:r>
    </w:p>
    <w:p w14:paraId="2157B84F" w14:textId="03695ACC" w:rsidR="00DF13B1" w:rsidRDefault="00AD6EAB" w:rsidP="00281323">
      <w:pPr>
        <w:pStyle w:val="a2"/>
        <w:numPr>
          <w:ilvl w:val="0"/>
          <w:numId w:val="0"/>
        </w:numPr>
        <w:spacing w:before="156" w:after="156"/>
        <w:ind w:firstLineChars="200" w:firstLine="420"/>
        <w:jc w:val="right"/>
        <w:rPr>
          <w:rFonts w:ascii="Times New Roman" w:eastAsiaTheme="minorEastAsia" w:hAnsiTheme="minorEastAsia"/>
        </w:rPr>
      </w:pPr>
      <w:r>
        <w:rPr>
          <w:rFonts w:ascii="Times New Roman" w:eastAsiaTheme="minorEastAsia" w:hAnsiTheme="minorEastAsia" w:hint="eastAsia"/>
        </w:rPr>
        <w:t>R</w:t>
      </w:r>
      <w:r w:rsidR="00714F4B">
        <w:rPr>
          <w:rFonts w:ascii="Times New Roman" w:eastAsiaTheme="minorEastAsia" w:hAnsiTheme="minorEastAsia" w:hint="eastAsia"/>
        </w:rPr>
        <w:t>=</w:t>
      </w:r>
      <w:r w:rsidR="00281323">
        <w:rPr>
          <w:rFonts w:ascii="Times New Roman" w:eastAsiaTheme="minorEastAsia" w:hAnsiTheme="minorEastAsia" w:hint="eastAsia"/>
        </w:rPr>
        <w:t>c</w:t>
      </w:r>
      <w:r w:rsidR="00714F4B">
        <w:rPr>
          <w:rFonts w:ascii="Times New Roman" w:eastAsiaTheme="minorEastAsia" w:hAnsiTheme="minorEastAsia" w:hint="eastAsia"/>
        </w:rPr>
        <w:t>—</w:t>
      </w:r>
      <w:r w:rsidR="00281323">
        <w:rPr>
          <w:rFonts w:ascii="Times New Roman" w:eastAsiaTheme="minorEastAsia" w:hAnsiTheme="minorEastAsia" w:hint="eastAsia"/>
        </w:rPr>
        <w:t>d</w:t>
      </w:r>
      <w:r w:rsidR="00992D9D">
        <w:rPr>
          <w:rFonts w:ascii="Times New Roman" w:eastAsiaTheme="minorEastAsia" w:hAnsiTheme="minorEastAsia" w:hint="eastAsia"/>
        </w:rPr>
        <w:t xml:space="preserve"> </w:t>
      </w:r>
      <w:r w:rsidR="00992D9D">
        <w:rPr>
          <w:rFonts w:ascii="Times New Roman" w:eastAsiaTheme="minorEastAsia" w:hAnsiTheme="minorEastAsia"/>
        </w:rPr>
        <w:t xml:space="preserve"> </w:t>
      </w:r>
      <w:r w:rsidR="00281323">
        <w:rPr>
          <w:rFonts w:ascii="Times New Roman" w:eastAsiaTheme="minorEastAsia" w:hAnsiTheme="minorEastAsia" w:hint="eastAsia"/>
        </w:rPr>
        <w:t>…</w:t>
      </w:r>
      <w:r w:rsidR="00714F4B">
        <w:rPr>
          <w:rFonts w:ascii="Times New Roman" w:eastAsiaTheme="minorEastAsia" w:hAnsiTheme="minorEastAsia" w:hint="eastAsia"/>
        </w:rPr>
        <w:t>…………………………………………………</w:t>
      </w:r>
      <w:r w:rsidR="00714F4B">
        <w:rPr>
          <w:rFonts w:ascii="Times New Roman" w:eastAsiaTheme="minorEastAsia" w:hAnsiTheme="minorEastAsia" w:hint="eastAsia"/>
        </w:rPr>
        <w:t>(</w:t>
      </w:r>
      <w:r w:rsidR="00714F4B">
        <w:rPr>
          <w:rFonts w:ascii="Times New Roman" w:eastAsiaTheme="minorEastAsia" w:hAnsiTheme="minorEastAsia"/>
        </w:rPr>
        <w:t>2</w:t>
      </w:r>
      <w:r w:rsidR="00714F4B">
        <w:rPr>
          <w:rFonts w:ascii="Times New Roman" w:eastAsiaTheme="minorEastAsia" w:hAnsiTheme="minorEastAsia" w:hint="eastAsia"/>
        </w:rPr>
        <w:t>)</w:t>
      </w:r>
    </w:p>
    <w:p w14:paraId="39944214" w14:textId="2E4F2539" w:rsidR="00992D9D" w:rsidRDefault="00992D9D" w:rsidP="00281323">
      <w:pPr>
        <w:pStyle w:val="a2"/>
        <w:numPr>
          <w:ilvl w:val="0"/>
          <w:numId w:val="0"/>
        </w:numPr>
        <w:spacing w:before="156" w:after="156"/>
        <w:ind w:firstLineChars="200" w:firstLine="420"/>
        <w:rPr>
          <w:rFonts w:ascii="Times New Roman" w:eastAsiaTheme="minorEastAsia" w:hAnsiTheme="minorEastAsia"/>
        </w:rPr>
      </w:pPr>
      <w:r w:rsidRPr="00992D9D">
        <w:rPr>
          <w:rFonts w:ascii="Times New Roman" w:eastAsiaTheme="minorEastAsia" w:hAnsiTheme="minorEastAsia" w:hint="eastAsia"/>
        </w:rPr>
        <w:t>式中：</w:t>
      </w:r>
    </w:p>
    <w:p w14:paraId="390AB2D4" w14:textId="43449851" w:rsidR="00AD6EAB" w:rsidRPr="00281323" w:rsidRDefault="00AD6EAB" w:rsidP="00281323">
      <w:pPr>
        <w:pStyle w:val="a2"/>
        <w:numPr>
          <w:ilvl w:val="0"/>
          <w:numId w:val="0"/>
        </w:numPr>
        <w:spacing w:before="156" w:after="156"/>
        <w:ind w:firstLineChars="200" w:firstLine="420"/>
        <w:rPr>
          <w:rFonts w:ascii="Times New Roman" w:eastAsiaTheme="minorEastAsia" w:hAnsiTheme="minorEastAsia"/>
        </w:rPr>
      </w:pPr>
      <w:r w:rsidRPr="00281323">
        <w:rPr>
          <w:rFonts w:ascii="Times New Roman" w:eastAsiaTheme="minorEastAsia" w:hAnsiTheme="minorEastAsia"/>
        </w:rPr>
        <w:t>R</w:t>
      </w:r>
      <w:r w:rsidRPr="00281323">
        <w:rPr>
          <w:rFonts w:ascii="Times New Roman" w:eastAsiaTheme="minorEastAsia" w:hAnsiTheme="minorEastAsia" w:hint="eastAsia"/>
        </w:rPr>
        <w:t>——绝对热值差异；</w:t>
      </w:r>
    </w:p>
    <w:p w14:paraId="3D5D703B" w14:textId="7DDD7D3B" w:rsidR="00AD6EAB" w:rsidRPr="00281323" w:rsidRDefault="00281323" w:rsidP="00281323">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c</w:t>
      </w:r>
      <w:r w:rsidR="00AD6EAB" w:rsidRPr="00281323">
        <w:rPr>
          <w:rFonts w:ascii="Times New Roman" w:eastAsiaTheme="minorEastAsia" w:hAnsiTheme="minorEastAsia" w:hint="eastAsia"/>
        </w:rPr>
        <w:t>——</w:t>
      </w:r>
      <w:r w:rsidR="0081276E">
        <w:rPr>
          <w:rFonts w:ascii="Times New Roman" w:eastAsiaTheme="minorEastAsia" w:hAnsiTheme="minorEastAsia" w:hint="eastAsia"/>
        </w:rPr>
        <w:t>卸船</w:t>
      </w:r>
      <w:r w:rsidRPr="00281323">
        <w:rPr>
          <w:rFonts w:ascii="Times New Roman" w:eastAsiaTheme="minorEastAsia" w:hAnsiTheme="minorEastAsia" w:hint="eastAsia"/>
        </w:rPr>
        <w:t>地点热值</w:t>
      </w:r>
      <w:r w:rsidR="00AD6EAB" w:rsidRPr="00281323">
        <w:rPr>
          <w:rFonts w:ascii="Times New Roman" w:eastAsiaTheme="minorEastAsia" w:hAnsiTheme="minorEastAsia" w:hint="eastAsia"/>
        </w:rPr>
        <w:t>；</w:t>
      </w:r>
    </w:p>
    <w:p w14:paraId="3ED28F4E" w14:textId="3BD6A602" w:rsidR="00AD6EAB" w:rsidRPr="00281323" w:rsidRDefault="00281323" w:rsidP="00281323">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d</w:t>
      </w:r>
      <w:r w:rsidR="00AD6EAB" w:rsidRPr="00281323">
        <w:rPr>
          <w:rFonts w:ascii="Times New Roman" w:eastAsiaTheme="minorEastAsia" w:hAnsiTheme="minorEastAsia" w:hint="eastAsia"/>
        </w:rPr>
        <w:t>——</w:t>
      </w:r>
      <w:r w:rsidRPr="00281323">
        <w:rPr>
          <w:rFonts w:ascii="Times New Roman" w:eastAsiaTheme="minorEastAsia" w:hAnsiTheme="minorEastAsia" w:hint="eastAsia"/>
        </w:rPr>
        <w:t>装船地点热值</w:t>
      </w:r>
      <w:r w:rsidR="00AD6EAB" w:rsidRPr="00281323">
        <w:rPr>
          <w:rFonts w:ascii="Times New Roman" w:eastAsiaTheme="minorEastAsia" w:hAnsiTheme="minorEastAsia" w:hint="eastAsia"/>
        </w:rPr>
        <w:t>。</w:t>
      </w:r>
    </w:p>
    <w:p w14:paraId="5E3AE2AE" w14:textId="31E1C81C" w:rsidR="00AD6EAB" w:rsidRPr="00992D9D" w:rsidRDefault="00992D9D" w:rsidP="00992D9D">
      <w:pPr>
        <w:pStyle w:val="afff2"/>
        <w:ind w:firstLine="360"/>
        <w:rPr>
          <w:sz w:val="18"/>
          <w:szCs w:val="18"/>
        </w:rPr>
      </w:pPr>
      <w:r w:rsidRPr="00992D9D">
        <w:rPr>
          <w:rFonts w:hint="eastAsia"/>
          <w:sz w:val="18"/>
          <w:szCs w:val="18"/>
        </w:rPr>
        <w:t>注：</w:t>
      </w:r>
      <w:r w:rsidR="00AD6EAB" w:rsidRPr="00992D9D">
        <w:rPr>
          <w:rFonts w:hint="eastAsia"/>
          <w:sz w:val="18"/>
          <w:szCs w:val="18"/>
        </w:rPr>
        <w:t>绝对热值差异越低，物流服务评价越好。</w:t>
      </w:r>
    </w:p>
    <w:p w14:paraId="3D32BEAF" w14:textId="77777777" w:rsidR="00C45D1A" w:rsidRPr="00C45D1A" w:rsidRDefault="00714F4B" w:rsidP="00C45D1A">
      <w:pPr>
        <w:pStyle w:val="a3"/>
        <w:spacing w:before="156" w:after="156"/>
        <w:rPr>
          <w:rFonts w:hAnsi="黑体"/>
          <w:b/>
        </w:rPr>
      </w:pPr>
      <w:r w:rsidRPr="00C45D1A">
        <w:rPr>
          <w:rFonts w:hAnsi="黑体" w:hint="eastAsia"/>
          <w:b/>
        </w:rPr>
        <w:t>综合热值差异</w:t>
      </w:r>
    </w:p>
    <w:p w14:paraId="2157B850" w14:textId="0DACE751"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按公式（</w:t>
      </w:r>
      <w:r>
        <w:rPr>
          <w:rFonts w:ascii="Times New Roman" w:eastAsiaTheme="minorEastAsia" w:hAnsiTheme="minorEastAsia" w:hint="eastAsia"/>
        </w:rPr>
        <w:t>3</w:t>
      </w:r>
      <w:r>
        <w:rPr>
          <w:rFonts w:ascii="Times New Roman" w:eastAsiaTheme="minorEastAsia" w:hAnsiTheme="minorEastAsia" w:hint="eastAsia"/>
        </w:rPr>
        <w:t>）计算：</w:t>
      </w:r>
    </w:p>
    <w:p w14:paraId="2157B851" w14:textId="11455F0A" w:rsidR="00DF13B1" w:rsidRPr="0081276E" w:rsidRDefault="00281323" w:rsidP="0081276E">
      <w:pPr>
        <w:pStyle w:val="a2"/>
        <w:numPr>
          <w:ilvl w:val="0"/>
          <w:numId w:val="0"/>
        </w:numPr>
        <w:spacing w:before="156" w:after="156"/>
        <w:ind w:firstLineChars="200" w:firstLine="420"/>
        <w:jc w:val="right"/>
        <w:rPr>
          <w:rFonts w:ascii="Times New Roman" w:eastAsiaTheme="minorEastAsia" w:hAnsiTheme="minorEastAsia"/>
          <w:sz w:val="32"/>
        </w:rPr>
      </w:pPr>
      <w:r w:rsidRPr="0081276E">
        <w:rPr>
          <w:rFonts w:ascii="Times New Roman" w:eastAsiaTheme="minorEastAsia" w:hAnsiTheme="minorEastAsia" w:hint="eastAsia"/>
        </w:rPr>
        <w:t>M</w:t>
      </w:r>
      <w:r w:rsidR="00714F4B" w:rsidRPr="0081276E">
        <w:rPr>
          <w:rFonts w:ascii="Times New Roman" w:eastAsiaTheme="minorEastAsia" w:hAnsiTheme="minorEastAsia" w:hint="eastAsia"/>
        </w:rPr>
        <w:t>=</w:t>
      </w:r>
      <m:oMath>
        <m:f>
          <m:fPr>
            <m:ctrlPr>
              <w:rPr>
                <w:rFonts w:ascii="Cambria Math" w:eastAsiaTheme="minorEastAsia" w:hAnsi="Cambria Math"/>
                <w:sz w:val="32"/>
              </w:rPr>
            </m:ctrlPr>
          </m:fPr>
          <m:num>
            <m:r>
              <w:rPr>
                <w:rFonts w:ascii="Cambria Math" w:eastAsiaTheme="minorEastAsia" w:hAnsi="Cambria Math"/>
                <w:sz w:val="32"/>
              </w:rPr>
              <m:t>b/d-a/c</m:t>
            </m:r>
          </m:num>
          <m:den>
            <m:r>
              <w:rPr>
                <w:rFonts w:ascii="Cambria Math" w:eastAsiaTheme="minorEastAsia" w:hAnsi="Cambria Math"/>
                <w:sz w:val="32"/>
              </w:rPr>
              <m:t>b</m:t>
            </m:r>
          </m:den>
        </m:f>
      </m:oMath>
      <w:r w:rsidR="00992D9D">
        <w:rPr>
          <w:rFonts w:ascii="Times New Roman" w:eastAsiaTheme="minorEastAsia" w:hAnsiTheme="minorEastAsia" w:hint="eastAsia"/>
        </w:rPr>
        <w:t xml:space="preserve"> </w:t>
      </w:r>
      <w:r w:rsidR="00992D9D">
        <w:rPr>
          <w:rFonts w:ascii="Times New Roman" w:eastAsiaTheme="minorEastAsia" w:hAnsiTheme="minorEastAsia"/>
        </w:rPr>
        <w:t xml:space="preserve"> </w:t>
      </w:r>
      <w:r w:rsidR="00C45D1A" w:rsidRPr="0081276E">
        <w:rPr>
          <w:rFonts w:ascii="Times New Roman" w:eastAsiaTheme="minorEastAsia" w:hAnsiTheme="minorEastAsia" w:hint="eastAsia"/>
        </w:rPr>
        <w:t>…</w:t>
      </w:r>
      <w:r w:rsidR="0081276E">
        <w:rPr>
          <w:rFonts w:ascii="Times New Roman" w:eastAsiaTheme="minorEastAsia" w:hAnsiTheme="minorEastAsia" w:hint="eastAsia"/>
        </w:rPr>
        <w:t>…………………………………</w:t>
      </w:r>
      <w:r w:rsidR="00C45D1A" w:rsidRPr="0081276E">
        <w:rPr>
          <w:rFonts w:ascii="Times New Roman" w:eastAsiaTheme="minorEastAsia" w:hAnsiTheme="minorEastAsia" w:hint="eastAsia"/>
        </w:rPr>
        <w:t>………</w:t>
      </w:r>
      <w:r w:rsidR="00714F4B" w:rsidRPr="0081276E">
        <w:rPr>
          <w:rFonts w:ascii="Times New Roman" w:eastAsiaTheme="minorEastAsia" w:hAnsiTheme="minorEastAsia" w:hint="eastAsia"/>
        </w:rPr>
        <w:t>…</w:t>
      </w:r>
      <w:r w:rsidR="00C45D1A" w:rsidRPr="0081276E">
        <w:rPr>
          <w:rFonts w:ascii="Times New Roman" w:eastAsiaTheme="minorEastAsia" w:hAnsiTheme="minorEastAsia" w:hint="eastAsia"/>
        </w:rPr>
        <w:t>(</w:t>
      </w:r>
      <w:r w:rsidR="00714F4B" w:rsidRPr="0081276E">
        <w:rPr>
          <w:rFonts w:ascii="Times New Roman" w:eastAsiaTheme="minorEastAsia" w:hAnsiTheme="minorEastAsia"/>
        </w:rPr>
        <w:t>3</w:t>
      </w:r>
      <w:r w:rsidR="00C45D1A" w:rsidRPr="0081276E">
        <w:rPr>
          <w:rFonts w:ascii="Times New Roman" w:eastAsiaTheme="minorEastAsia" w:hAnsiTheme="minorEastAsia"/>
        </w:rPr>
        <w:t>)</w:t>
      </w:r>
    </w:p>
    <w:p w14:paraId="71899019" w14:textId="4FA9BBD4" w:rsidR="00992D9D" w:rsidRDefault="00992D9D" w:rsidP="00281323">
      <w:pPr>
        <w:pStyle w:val="a2"/>
        <w:numPr>
          <w:ilvl w:val="0"/>
          <w:numId w:val="0"/>
        </w:numPr>
        <w:spacing w:before="156" w:after="156"/>
        <w:ind w:firstLineChars="200" w:firstLine="420"/>
        <w:rPr>
          <w:rFonts w:ascii="Times New Roman" w:eastAsiaTheme="minorEastAsia" w:hAnsiTheme="minorEastAsia"/>
        </w:rPr>
      </w:pPr>
      <w:r w:rsidRPr="00992D9D">
        <w:rPr>
          <w:rFonts w:ascii="Times New Roman" w:eastAsiaTheme="minorEastAsia" w:hAnsiTheme="minorEastAsia" w:hint="eastAsia"/>
        </w:rPr>
        <w:t>式中：</w:t>
      </w:r>
    </w:p>
    <w:p w14:paraId="44DAFD52" w14:textId="3A203617" w:rsidR="00281323" w:rsidRDefault="00281323" w:rsidP="00281323">
      <w:pPr>
        <w:pStyle w:val="a2"/>
        <w:numPr>
          <w:ilvl w:val="0"/>
          <w:numId w:val="0"/>
        </w:numPr>
        <w:spacing w:before="156" w:after="156"/>
        <w:ind w:firstLineChars="200" w:firstLine="420"/>
        <w:rPr>
          <w:rFonts w:ascii="Times New Roman" w:eastAsiaTheme="minorEastAsia" w:hAnsiTheme="minorEastAsia"/>
        </w:rPr>
      </w:pPr>
      <w:r w:rsidRPr="00281323">
        <w:rPr>
          <w:rFonts w:ascii="Times New Roman" w:eastAsiaTheme="minorEastAsia" w:hAnsiTheme="minorEastAsia"/>
        </w:rPr>
        <w:t>M</w:t>
      </w:r>
      <w:r w:rsidRPr="00281323">
        <w:rPr>
          <w:rFonts w:ascii="Times New Roman" w:eastAsiaTheme="minorEastAsia" w:hAnsiTheme="minorEastAsia" w:hint="eastAsia"/>
        </w:rPr>
        <w:t>——综合热值差异。</w:t>
      </w:r>
    </w:p>
    <w:p w14:paraId="13AE69CE" w14:textId="77777777" w:rsidR="00992D9D" w:rsidRPr="00992D9D" w:rsidRDefault="00992D9D" w:rsidP="00992D9D">
      <w:pPr>
        <w:pStyle w:val="a2"/>
        <w:numPr>
          <w:ilvl w:val="0"/>
          <w:numId w:val="0"/>
        </w:numPr>
        <w:spacing w:before="156" w:after="156"/>
        <w:ind w:firstLineChars="200" w:firstLine="420"/>
        <w:rPr>
          <w:rFonts w:ascii="Times New Roman" w:eastAsiaTheme="minorEastAsia" w:hAnsiTheme="minorEastAsia" w:hint="eastAsia"/>
        </w:rPr>
      </w:pPr>
      <w:r w:rsidRPr="00992D9D">
        <w:rPr>
          <w:rFonts w:ascii="Times New Roman" w:eastAsiaTheme="minorEastAsia" w:hAnsiTheme="minorEastAsia" w:hint="eastAsia"/>
        </w:rPr>
        <w:t>a</w:t>
      </w:r>
      <w:r w:rsidRPr="00992D9D">
        <w:rPr>
          <w:rFonts w:ascii="Times New Roman" w:eastAsiaTheme="minorEastAsia" w:hAnsiTheme="minorEastAsia" w:hint="eastAsia"/>
        </w:rPr>
        <w:t>——评价期内到港货物总量；</w:t>
      </w:r>
    </w:p>
    <w:p w14:paraId="00C7EE65" w14:textId="64806268" w:rsidR="00992D9D" w:rsidRDefault="00992D9D" w:rsidP="00992D9D">
      <w:pPr>
        <w:pStyle w:val="a2"/>
        <w:numPr>
          <w:ilvl w:val="0"/>
          <w:numId w:val="0"/>
        </w:numPr>
        <w:spacing w:before="156" w:after="156"/>
        <w:ind w:firstLineChars="200" w:firstLine="420"/>
        <w:rPr>
          <w:rFonts w:ascii="Times New Roman" w:eastAsiaTheme="minorEastAsia" w:hAnsiTheme="minorEastAsia"/>
        </w:rPr>
      </w:pPr>
      <w:r w:rsidRPr="00992D9D">
        <w:rPr>
          <w:rFonts w:ascii="Times New Roman" w:eastAsiaTheme="minorEastAsia" w:hAnsiTheme="minorEastAsia" w:hint="eastAsia"/>
        </w:rPr>
        <w:t>b</w:t>
      </w:r>
      <w:r w:rsidRPr="00992D9D">
        <w:rPr>
          <w:rFonts w:ascii="Times New Roman" w:eastAsiaTheme="minorEastAsia" w:hAnsiTheme="minorEastAsia" w:hint="eastAsia"/>
        </w:rPr>
        <w:t>——评价期内出港货物总量。</w:t>
      </w:r>
    </w:p>
    <w:p w14:paraId="392FB6FC" w14:textId="77777777" w:rsidR="00992D9D" w:rsidRPr="00992D9D" w:rsidRDefault="00992D9D" w:rsidP="00992D9D">
      <w:pPr>
        <w:pStyle w:val="a2"/>
        <w:numPr>
          <w:ilvl w:val="0"/>
          <w:numId w:val="0"/>
        </w:numPr>
        <w:spacing w:before="156" w:after="156"/>
        <w:ind w:firstLineChars="200" w:firstLine="420"/>
        <w:rPr>
          <w:rFonts w:ascii="Times New Roman" w:eastAsiaTheme="minorEastAsia" w:hAnsiTheme="minorEastAsia" w:hint="eastAsia"/>
        </w:rPr>
      </w:pPr>
      <w:r w:rsidRPr="00992D9D">
        <w:rPr>
          <w:rFonts w:ascii="Times New Roman" w:eastAsiaTheme="minorEastAsia" w:hAnsiTheme="minorEastAsia" w:hint="eastAsia"/>
        </w:rPr>
        <w:t>c</w:t>
      </w:r>
      <w:r w:rsidRPr="00992D9D">
        <w:rPr>
          <w:rFonts w:ascii="Times New Roman" w:eastAsiaTheme="minorEastAsia" w:hAnsiTheme="minorEastAsia" w:hint="eastAsia"/>
        </w:rPr>
        <w:t>——卸船地点热值；</w:t>
      </w:r>
    </w:p>
    <w:p w14:paraId="2C4C2CD7" w14:textId="768BA893" w:rsidR="00992D9D" w:rsidRPr="00992D9D" w:rsidRDefault="00992D9D" w:rsidP="00992D9D">
      <w:pPr>
        <w:pStyle w:val="a2"/>
        <w:numPr>
          <w:ilvl w:val="0"/>
          <w:numId w:val="0"/>
        </w:numPr>
        <w:spacing w:before="156" w:after="156"/>
        <w:ind w:firstLineChars="200" w:firstLine="420"/>
        <w:rPr>
          <w:rFonts w:ascii="Times New Roman" w:eastAsiaTheme="minorEastAsia" w:hAnsiTheme="minorEastAsia"/>
        </w:rPr>
      </w:pPr>
      <w:r w:rsidRPr="00992D9D">
        <w:rPr>
          <w:rFonts w:ascii="Times New Roman" w:eastAsiaTheme="minorEastAsia" w:hAnsiTheme="minorEastAsia" w:hint="eastAsia"/>
        </w:rPr>
        <w:t>d</w:t>
      </w:r>
      <w:r w:rsidRPr="00992D9D">
        <w:rPr>
          <w:rFonts w:ascii="Times New Roman" w:eastAsiaTheme="minorEastAsia" w:hAnsiTheme="minorEastAsia" w:hint="eastAsia"/>
        </w:rPr>
        <w:t>——装船地点热值。</w:t>
      </w:r>
    </w:p>
    <w:p w14:paraId="484DE4F2" w14:textId="3180E7D5" w:rsidR="00AD6EAB" w:rsidRPr="00992D9D" w:rsidRDefault="00992D9D" w:rsidP="00992D9D">
      <w:pPr>
        <w:pStyle w:val="afff2"/>
        <w:ind w:firstLine="360"/>
        <w:rPr>
          <w:sz w:val="18"/>
          <w:szCs w:val="18"/>
        </w:rPr>
      </w:pPr>
      <w:r w:rsidRPr="00992D9D">
        <w:rPr>
          <w:rFonts w:hint="eastAsia"/>
          <w:sz w:val="18"/>
          <w:szCs w:val="18"/>
        </w:rPr>
        <w:t>注：</w:t>
      </w:r>
      <w:r w:rsidR="00AD6EAB" w:rsidRPr="00992D9D">
        <w:rPr>
          <w:rFonts w:hint="eastAsia"/>
          <w:sz w:val="18"/>
          <w:szCs w:val="18"/>
        </w:rPr>
        <w:t>综合热值差异越低，物流服务评价越好。</w:t>
      </w:r>
    </w:p>
    <w:p w14:paraId="2157B852" w14:textId="77777777" w:rsidR="00DF13B1" w:rsidRDefault="00714F4B">
      <w:pPr>
        <w:pStyle w:val="a3"/>
        <w:spacing w:before="156" w:after="156"/>
        <w:rPr>
          <w:rFonts w:hAnsi="黑体"/>
          <w:b/>
        </w:rPr>
      </w:pPr>
      <w:r>
        <w:rPr>
          <w:rFonts w:hAnsi="黑体" w:hint="eastAsia"/>
          <w:b/>
        </w:rPr>
        <w:t>物流准时率</w:t>
      </w:r>
    </w:p>
    <w:p w14:paraId="2157B853" w14:textId="7777777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按公式（</w:t>
      </w:r>
      <w:r>
        <w:rPr>
          <w:rFonts w:ascii="Times New Roman" w:eastAsiaTheme="minorEastAsia" w:hAnsiTheme="minorEastAsia" w:hint="eastAsia"/>
        </w:rPr>
        <w:t>4</w:t>
      </w:r>
      <w:r>
        <w:rPr>
          <w:rFonts w:ascii="Times New Roman" w:eastAsiaTheme="minorEastAsia" w:hAnsiTheme="minorEastAsia" w:hint="eastAsia"/>
        </w:rPr>
        <w:t>）计算：</w:t>
      </w:r>
    </w:p>
    <w:p w14:paraId="2157B854" w14:textId="6FF8E66E" w:rsidR="00DF13B1" w:rsidRPr="0081276E" w:rsidRDefault="00281323" w:rsidP="0081276E">
      <w:pPr>
        <w:pStyle w:val="a2"/>
        <w:numPr>
          <w:ilvl w:val="0"/>
          <w:numId w:val="0"/>
        </w:numPr>
        <w:spacing w:before="156" w:after="156"/>
        <w:ind w:firstLineChars="200" w:firstLine="420"/>
        <w:jc w:val="right"/>
        <w:rPr>
          <w:rFonts w:ascii="Times New Roman" w:eastAsiaTheme="minorEastAsia" w:hAnsiTheme="minorEastAsia"/>
          <w:sz w:val="32"/>
        </w:rPr>
      </w:pPr>
      <w:r w:rsidRPr="0081276E">
        <w:rPr>
          <w:rFonts w:ascii="Times New Roman" w:eastAsiaTheme="minorEastAsia" w:hAnsiTheme="minorEastAsia"/>
        </w:rPr>
        <w:t>T</w:t>
      </w:r>
      <w:r w:rsidR="00714F4B" w:rsidRPr="0081276E">
        <w:rPr>
          <w:rFonts w:ascii="Times New Roman" w:eastAsiaTheme="minorEastAsia" w:hAnsiTheme="minorEastAsia" w:hint="eastAsia"/>
        </w:rPr>
        <w:t>=</w:t>
      </w:r>
      <m:oMath>
        <m:f>
          <m:fPr>
            <m:ctrlPr>
              <w:rPr>
                <w:rFonts w:ascii="Cambria Math" w:eastAsiaTheme="minorEastAsia" w:hAnsi="Cambria Math"/>
                <w:sz w:val="32"/>
              </w:rPr>
            </m:ctrlPr>
          </m:fPr>
          <m:num>
            <m:r>
              <w:rPr>
                <w:rFonts w:ascii="Cambria Math" w:eastAsiaTheme="minorEastAsia" w:hAnsi="Cambria Math" w:hint="eastAsia"/>
                <w:sz w:val="32"/>
              </w:rPr>
              <m:t>e</m:t>
            </m:r>
          </m:num>
          <m:den>
            <m:r>
              <w:rPr>
                <w:rFonts w:ascii="Cambria Math" w:eastAsiaTheme="minorEastAsia" w:hAnsi="Cambria Math" w:hint="eastAsia"/>
                <w:sz w:val="32"/>
              </w:rPr>
              <m:t>f</m:t>
            </m:r>
          </m:den>
        </m:f>
      </m:oMath>
      <w:r w:rsidR="00714F4B" w:rsidRPr="0081276E">
        <w:rPr>
          <w:rFonts w:ascii="Times New Roman" w:eastAsiaTheme="minorEastAsia" w:hAnsiTheme="minorEastAsia" w:hint="eastAsia"/>
        </w:rPr>
        <w:t>×</w:t>
      </w:r>
      <w:r w:rsidR="00714F4B" w:rsidRPr="0081276E">
        <w:rPr>
          <w:rFonts w:ascii="Times New Roman" w:eastAsiaTheme="minorEastAsia" w:hAnsiTheme="minorEastAsia" w:hint="eastAsia"/>
        </w:rPr>
        <w:t>100%</w:t>
      </w:r>
      <w:r w:rsidR="00992D9D">
        <w:rPr>
          <w:rFonts w:ascii="Times New Roman" w:eastAsiaTheme="minorEastAsia" w:hAnsiTheme="minorEastAsia" w:hint="eastAsia"/>
        </w:rPr>
        <w:t xml:space="preserve"> </w:t>
      </w:r>
      <w:r w:rsidR="00992D9D">
        <w:rPr>
          <w:rFonts w:ascii="Times New Roman" w:eastAsiaTheme="minorEastAsia" w:hAnsiTheme="minorEastAsia"/>
        </w:rPr>
        <w:t xml:space="preserve"> </w:t>
      </w:r>
      <w:r w:rsidR="0081276E">
        <w:rPr>
          <w:rFonts w:ascii="Times New Roman" w:eastAsiaTheme="minorEastAsia" w:hAnsiTheme="minorEastAsia" w:hint="eastAsia"/>
        </w:rPr>
        <w:t>…………………………………………</w:t>
      </w:r>
      <w:r w:rsidR="00C45D1A" w:rsidRPr="0081276E">
        <w:rPr>
          <w:rFonts w:ascii="Times New Roman" w:eastAsiaTheme="minorEastAsia" w:hAnsiTheme="minorEastAsia"/>
        </w:rPr>
        <w:t>…</w:t>
      </w:r>
      <w:r w:rsidR="00714F4B" w:rsidRPr="0081276E">
        <w:rPr>
          <w:rFonts w:ascii="Times New Roman" w:eastAsiaTheme="minorEastAsia" w:hAnsiTheme="minorEastAsia" w:hint="eastAsia"/>
        </w:rPr>
        <w:t>……</w:t>
      </w:r>
      <w:r w:rsidR="00714F4B" w:rsidRPr="0081276E">
        <w:rPr>
          <w:rFonts w:ascii="Times New Roman" w:eastAsiaTheme="minorEastAsia" w:hAnsiTheme="minorEastAsia" w:hint="eastAsia"/>
        </w:rPr>
        <w:t>(4)</w:t>
      </w:r>
    </w:p>
    <w:p w14:paraId="73615230" w14:textId="3CC4648D" w:rsidR="00992D9D" w:rsidRDefault="00992D9D">
      <w:pPr>
        <w:pStyle w:val="a2"/>
        <w:numPr>
          <w:ilvl w:val="0"/>
          <w:numId w:val="0"/>
        </w:numPr>
        <w:spacing w:before="156" w:after="156"/>
        <w:ind w:firstLineChars="200" w:firstLine="420"/>
        <w:rPr>
          <w:rFonts w:ascii="Times New Roman" w:eastAsiaTheme="minorEastAsia" w:hAnsiTheme="minorEastAsia"/>
        </w:rPr>
      </w:pPr>
      <w:r w:rsidRPr="00992D9D">
        <w:rPr>
          <w:rFonts w:ascii="Times New Roman" w:eastAsiaTheme="minorEastAsia" w:hAnsiTheme="minorEastAsia" w:hint="eastAsia"/>
        </w:rPr>
        <w:t>式中：</w:t>
      </w:r>
      <w:bookmarkStart w:id="16" w:name="_GoBack"/>
      <w:bookmarkEnd w:id="16"/>
    </w:p>
    <w:p w14:paraId="3025CD6F" w14:textId="7AFFD16B" w:rsidR="00281323" w:rsidRDefault="00281323">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rPr>
        <w:t>T</w:t>
      </w:r>
      <w:r w:rsidRPr="00281323">
        <w:rPr>
          <w:rFonts w:ascii="Times New Roman" w:eastAsiaTheme="minorEastAsia" w:hAnsiTheme="minorEastAsia" w:hint="eastAsia"/>
        </w:rPr>
        <w:t>——物流准时率</w:t>
      </w:r>
      <w:r>
        <w:rPr>
          <w:rFonts w:ascii="Times New Roman" w:eastAsiaTheme="minorEastAsia" w:hAnsiTheme="minorEastAsia" w:hint="eastAsia"/>
        </w:rPr>
        <w:t>；</w:t>
      </w:r>
    </w:p>
    <w:p w14:paraId="5066BCF5" w14:textId="33536D2D" w:rsidR="00281323" w:rsidRPr="00281323" w:rsidRDefault="00281323" w:rsidP="00281323">
      <w:pPr>
        <w:pStyle w:val="afff2"/>
      </w:pPr>
      <w:r>
        <w:rPr>
          <w:rFonts w:hint="eastAsia"/>
        </w:rPr>
        <w:t>e</w:t>
      </w:r>
      <w:r w:rsidRPr="00281323">
        <w:rPr>
          <w:rFonts w:hint="eastAsia"/>
        </w:rPr>
        <w:t>——评价期内按约定时间送达的总航次数</w:t>
      </w:r>
      <w:r>
        <w:rPr>
          <w:rFonts w:hint="eastAsia"/>
        </w:rPr>
        <w:t>；</w:t>
      </w:r>
    </w:p>
    <w:p w14:paraId="514FA6D6" w14:textId="7C0B7042" w:rsidR="00281323" w:rsidRDefault="00281323">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f</w:t>
      </w:r>
      <w:r>
        <w:rPr>
          <w:rFonts w:ascii="Times New Roman" w:eastAsiaTheme="minorEastAsia" w:hAnsiTheme="minorEastAsia" w:hint="eastAsia"/>
        </w:rPr>
        <w:t>——</w:t>
      </w:r>
      <w:r w:rsidRPr="00281323">
        <w:rPr>
          <w:rFonts w:ascii="Times New Roman" w:eastAsiaTheme="minorEastAsia" w:hAnsiTheme="minorEastAsia" w:hint="eastAsia"/>
        </w:rPr>
        <w:t>评价期内运输总航次数</w:t>
      </w:r>
      <w:r>
        <w:rPr>
          <w:rFonts w:ascii="Times New Roman" w:eastAsiaTheme="minorEastAsia" w:hAnsiTheme="minorEastAsia" w:hint="eastAsia"/>
        </w:rPr>
        <w:t>。</w:t>
      </w:r>
    </w:p>
    <w:p w14:paraId="2157B855" w14:textId="535C1441" w:rsidR="00DF13B1" w:rsidRPr="00992D9D" w:rsidRDefault="00992D9D" w:rsidP="00992D9D">
      <w:pPr>
        <w:pStyle w:val="afff2"/>
        <w:ind w:firstLine="360"/>
        <w:rPr>
          <w:sz w:val="18"/>
          <w:szCs w:val="18"/>
        </w:rPr>
      </w:pPr>
      <w:r w:rsidRPr="00992D9D">
        <w:rPr>
          <w:rFonts w:hint="eastAsia"/>
          <w:sz w:val="18"/>
          <w:szCs w:val="18"/>
        </w:rPr>
        <w:t>注：</w:t>
      </w:r>
      <w:r w:rsidR="00714F4B" w:rsidRPr="00992D9D">
        <w:rPr>
          <w:rFonts w:hint="eastAsia"/>
          <w:sz w:val="18"/>
          <w:szCs w:val="18"/>
        </w:rPr>
        <w:t>物流准时率越高，服务评价越好。</w:t>
      </w:r>
    </w:p>
    <w:p w14:paraId="2157B856" w14:textId="77777777" w:rsidR="00DF13B1" w:rsidRDefault="00714F4B">
      <w:pPr>
        <w:pStyle w:val="a3"/>
        <w:spacing w:before="156" w:after="156"/>
        <w:rPr>
          <w:rFonts w:hAnsi="黑体"/>
          <w:b/>
        </w:rPr>
      </w:pPr>
      <w:r>
        <w:rPr>
          <w:rFonts w:hAnsi="黑体" w:hint="eastAsia"/>
          <w:b/>
        </w:rPr>
        <w:lastRenderedPageBreak/>
        <w:t>客户满意度</w:t>
      </w:r>
    </w:p>
    <w:p w14:paraId="2157B857" w14:textId="7777777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客户满意度是指客户对物流服务质量的综合评价，分</w:t>
      </w:r>
      <w:r w:rsidR="00621370">
        <w:rPr>
          <w:rFonts w:ascii="Times New Roman" w:eastAsiaTheme="minorEastAsia" w:hAnsiTheme="minorEastAsia" w:hint="eastAsia"/>
        </w:rPr>
        <w:t>三</w:t>
      </w:r>
      <w:r>
        <w:rPr>
          <w:rFonts w:ascii="Times New Roman" w:eastAsiaTheme="minorEastAsia" w:hAnsiTheme="minorEastAsia" w:hint="eastAsia"/>
        </w:rPr>
        <w:t>个级度，即：</w:t>
      </w:r>
      <w:r w:rsidR="00621370">
        <w:rPr>
          <w:rFonts w:ascii="Times New Roman" w:eastAsiaTheme="minorEastAsia" w:hAnsiTheme="minorEastAsia" w:hint="eastAsia"/>
        </w:rPr>
        <w:t>优秀、良好和合格</w:t>
      </w:r>
      <w:r>
        <w:rPr>
          <w:rFonts w:ascii="Times New Roman" w:eastAsiaTheme="minorEastAsia" w:hAnsiTheme="minorEastAsia" w:hint="eastAsia"/>
        </w:rPr>
        <w:t>。</w:t>
      </w:r>
    </w:p>
    <w:p w14:paraId="2157B858" w14:textId="77777777" w:rsidR="00DF13B1" w:rsidRDefault="00714F4B">
      <w:pPr>
        <w:pStyle w:val="a2"/>
        <w:spacing w:before="156" w:after="156"/>
        <w:rPr>
          <w:rFonts w:hAnsi="黑体"/>
          <w:b/>
          <w:bCs/>
        </w:rPr>
      </w:pPr>
      <w:r>
        <w:rPr>
          <w:rFonts w:hAnsi="黑体" w:hint="eastAsia"/>
          <w:b/>
          <w:bCs/>
        </w:rPr>
        <w:t>持续改进</w:t>
      </w:r>
    </w:p>
    <w:p w14:paraId="2157B859" w14:textId="77777777" w:rsidR="00DF13B1" w:rsidRDefault="00714F4B">
      <w:pPr>
        <w:pStyle w:val="a2"/>
        <w:numPr>
          <w:ilvl w:val="0"/>
          <w:numId w:val="0"/>
        </w:numPr>
        <w:spacing w:before="156" w:after="156"/>
        <w:ind w:firstLineChars="200" w:firstLine="420"/>
        <w:rPr>
          <w:rFonts w:ascii="Times New Roman" w:eastAsiaTheme="minorEastAsia" w:hAnsiTheme="minorEastAsia"/>
        </w:rPr>
      </w:pPr>
      <w:r>
        <w:rPr>
          <w:rFonts w:ascii="Times New Roman" w:eastAsiaTheme="minorEastAsia" w:hAnsiTheme="minorEastAsia" w:hint="eastAsia"/>
        </w:rPr>
        <w:t>应根据评价结果，采取相应的预防和改进措施，持续提升煤炭内河水运物流服务质量。</w:t>
      </w:r>
    </w:p>
    <w:p w14:paraId="2157B85A" w14:textId="77777777" w:rsidR="00DF13B1" w:rsidRDefault="00714F4B">
      <w:pPr>
        <w:widowControl/>
        <w:jc w:val="left"/>
        <w:rPr>
          <w:rFonts w:ascii="宋体"/>
          <w:kern w:val="0"/>
          <w:szCs w:val="20"/>
        </w:rPr>
      </w:pPr>
      <w:r>
        <w:br w:type="page"/>
      </w:r>
    </w:p>
    <w:p w14:paraId="2157B85B" w14:textId="77777777" w:rsidR="00DF13B1" w:rsidRDefault="00DF13B1">
      <w:pPr>
        <w:pStyle w:val="afff2"/>
        <w:jc w:val="center"/>
        <w:rPr>
          <w:rFonts w:ascii="黑体" w:eastAsia="黑体" w:hAnsi="黑体"/>
        </w:rPr>
      </w:pPr>
    </w:p>
    <w:p w14:paraId="2157B85C" w14:textId="77777777" w:rsidR="00DF13B1" w:rsidRDefault="00714F4B">
      <w:pPr>
        <w:pStyle w:val="afff2"/>
        <w:jc w:val="center"/>
        <w:rPr>
          <w:rFonts w:ascii="黑体" w:eastAsia="黑体" w:hAnsi="黑体"/>
        </w:rPr>
      </w:pPr>
      <w:r>
        <w:rPr>
          <w:rFonts w:ascii="黑体" w:eastAsia="黑体" w:hAnsi="黑体" w:hint="eastAsia"/>
        </w:rPr>
        <w:t>参考文献</w:t>
      </w:r>
    </w:p>
    <w:p w14:paraId="2157B85D" w14:textId="77777777" w:rsidR="00DF13B1" w:rsidRDefault="00DF13B1">
      <w:pPr>
        <w:pStyle w:val="afff2"/>
        <w:jc w:val="center"/>
        <w:rPr>
          <w:rFonts w:ascii="黑体" w:eastAsia="黑体" w:hAnsi="黑体"/>
        </w:rPr>
      </w:pPr>
    </w:p>
    <w:p w14:paraId="2157B85E" w14:textId="77777777" w:rsidR="00DF13B1" w:rsidRDefault="00714F4B">
      <w:pPr>
        <w:pStyle w:val="afff2"/>
      </w:pPr>
      <w:r>
        <w:t>[1]</w:t>
      </w:r>
      <w:r>
        <w:rPr>
          <w:rFonts w:hint="eastAsia"/>
        </w:rPr>
        <w:t>G</w:t>
      </w:r>
      <w:r>
        <w:t xml:space="preserve">B/T </w:t>
      </w:r>
      <w:r>
        <w:rPr>
          <w:rFonts w:hint="eastAsia"/>
        </w:rPr>
        <w:t>18666</w:t>
      </w:r>
      <w:r>
        <w:t xml:space="preserve"> </w:t>
      </w:r>
      <w:r>
        <w:rPr>
          <w:rFonts w:hint="eastAsia"/>
        </w:rPr>
        <w:t>商品煤质量抽查和验收方法</w:t>
      </w:r>
    </w:p>
    <w:p w14:paraId="2157B85F" w14:textId="77777777" w:rsidR="00DF13B1" w:rsidRDefault="00714F4B">
      <w:pPr>
        <w:pStyle w:val="afff2"/>
      </w:pPr>
      <w:r>
        <w:t>[2]</w:t>
      </w:r>
      <w:r>
        <w:rPr>
          <w:rFonts w:hint="eastAsia"/>
        </w:rPr>
        <w:t>G</w:t>
      </w:r>
      <w:r>
        <w:t>B</w:t>
      </w:r>
      <w:r>
        <w:rPr>
          <w:rFonts w:hint="eastAsia"/>
        </w:rPr>
        <w:t>/</w:t>
      </w:r>
      <w:r>
        <w:t xml:space="preserve">T 7721 </w:t>
      </w:r>
      <w:r>
        <w:rPr>
          <w:rFonts w:hint="eastAsia"/>
        </w:rPr>
        <w:t>连续累计自动衡器（皮带秤）</w:t>
      </w:r>
    </w:p>
    <w:p w14:paraId="2157B860" w14:textId="77777777" w:rsidR="00DF13B1" w:rsidRDefault="00714F4B">
      <w:pPr>
        <w:pStyle w:val="afff2"/>
      </w:pPr>
      <w:r>
        <w:t xml:space="preserve">[3]JT/T 227 </w:t>
      </w:r>
      <w:r>
        <w:rPr>
          <w:rFonts w:hint="eastAsia"/>
        </w:rPr>
        <w:t>驳船水尺计重技术规程</w:t>
      </w:r>
    </w:p>
    <w:p w14:paraId="2157B861" w14:textId="77777777" w:rsidR="00DF13B1" w:rsidRDefault="00714F4B">
      <w:pPr>
        <w:pStyle w:val="afff2"/>
      </w:pPr>
      <w:r>
        <w:t>[4]</w:t>
      </w:r>
      <w:r>
        <w:rPr>
          <w:rFonts w:hint="eastAsia"/>
        </w:rPr>
        <w:t>S</w:t>
      </w:r>
      <w:r>
        <w:t xml:space="preserve">N/T </w:t>
      </w:r>
      <w:r>
        <w:rPr>
          <w:rFonts w:hint="eastAsia"/>
        </w:rPr>
        <w:t>0187</w:t>
      </w:r>
      <w:r>
        <w:t xml:space="preserve"> </w:t>
      </w:r>
      <w:r>
        <w:rPr>
          <w:rFonts w:hint="eastAsia"/>
        </w:rPr>
        <w:t>进出口商品重量鉴定规程水尺计重</w:t>
      </w:r>
    </w:p>
    <w:p w14:paraId="2157B862" w14:textId="77777777" w:rsidR="00DF13B1" w:rsidRDefault="00714F4B">
      <w:pPr>
        <w:pStyle w:val="afff2"/>
      </w:pPr>
      <w:r>
        <w:rPr>
          <w:rFonts w:hint="eastAsia"/>
        </w:rPr>
        <w:t>[</w:t>
      </w:r>
      <w:r>
        <w:t>5]</w:t>
      </w:r>
      <w:r>
        <w:rPr>
          <w:rFonts w:hint="eastAsia"/>
        </w:rPr>
        <w:t>中华人民共和国主席令第65号 中华人民共和国长江保护法，2021</w:t>
      </w:r>
    </w:p>
    <w:p w14:paraId="2157B863" w14:textId="77777777" w:rsidR="00DF13B1" w:rsidRDefault="00714F4B">
      <w:pPr>
        <w:pStyle w:val="afff2"/>
      </w:pPr>
      <w:r>
        <w:rPr>
          <w:rFonts w:hint="eastAsia"/>
        </w:rPr>
        <w:t>[</w:t>
      </w:r>
      <w:r>
        <w:t>6]</w:t>
      </w:r>
      <w:r>
        <w:rPr>
          <w:rFonts w:hint="eastAsia"/>
        </w:rPr>
        <w:t>国务院令第355号 中华人民共和国内河交通安全管理条例，2002</w:t>
      </w:r>
    </w:p>
    <w:p w14:paraId="2157B864" w14:textId="77777777" w:rsidR="00DF13B1" w:rsidRDefault="00714F4B">
      <w:pPr>
        <w:pStyle w:val="afff2"/>
      </w:pPr>
      <w:r>
        <w:rPr>
          <w:rFonts w:hint="eastAsia"/>
        </w:rPr>
        <w:t>[</w:t>
      </w:r>
      <w:r>
        <w:t>7]</w:t>
      </w:r>
      <w:r>
        <w:rPr>
          <w:rFonts w:hint="eastAsia"/>
        </w:rPr>
        <w:t>国务院令第676号 国内水路运输管理条例，2017</w:t>
      </w:r>
    </w:p>
    <w:p w14:paraId="2157B865" w14:textId="77777777" w:rsidR="00DF13B1" w:rsidRDefault="00714F4B">
      <w:pPr>
        <w:pStyle w:val="afff2"/>
      </w:pPr>
      <w:r>
        <w:rPr>
          <w:rFonts w:hint="eastAsia"/>
        </w:rPr>
        <w:t>[</w:t>
      </w:r>
      <w:r>
        <w:t>8]</w:t>
      </w:r>
      <w:r>
        <w:rPr>
          <w:rFonts w:hint="eastAsia"/>
        </w:rPr>
        <w:t>交通运输部令第12号 交通运输信息化标准体系，2019</w:t>
      </w:r>
    </w:p>
    <w:p w14:paraId="2157B866" w14:textId="77777777" w:rsidR="00DF13B1" w:rsidRDefault="00714F4B">
      <w:pPr>
        <w:pStyle w:val="afff2"/>
      </w:pPr>
      <w:r>
        <w:rPr>
          <w:rFonts w:hint="eastAsia"/>
        </w:rPr>
        <w:t>[</w:t>
      </w:r>
      <w:r>
        <w:t>9]GB/T 20924</w:t>
      </w:r>
      <w:r>
        <w:rPr>
          <w:rFonts w:hint="eastAsia"/>
        </w:rPr>
        <w:t>—</w:t>
      </w:r>
      <w:r>
        <w:t xml:space="preserve">2007 </w:t>
      </w:r>
      <w:r>
        <w:rPr>
          <w:rFonts w:hint="eastAsia"/>
        </w:rPr>
        <w:t xml:space="preserve">道路货物运输服务质量评定 </w:t>
      </w:r>
    </w:p>
    <w:p w14:paraId="2157B867" w14:textId="77777777" w:rsidR="00DF13B1" w:rsidRDefault="00714F4B">
      <w:pPr>
        <w:pStyle w:val="afff2"/>
      </w:pPr>
      <w:r>
        <w:rPr>
          <w:rFonts w:hint="eastAsia"/>
        </w:rPr>
        <w:t>[</w:t>
      </w:r>
      <w:r>
        <w:t>10]</w:t>
      </w:r>
      <w:r>
        <w:rPr>
          <w:rFonts w:hint="eastAsia"/>
        </w:rPr>
        <w:t>交通部令第32号 长江干线水上交通安全管理特别规定，2017</w:t>
      </w:r>
    </w:p>
    <w:p w14:paraId="2157B868" w14:textId="77777777" w:rsidR="00DF13B1" w:rsidRDefault="00714F4B">
      <w:pPr>
        <w:pStyle w:val="afff2"/>
      </w:pPr>
      <w:r>
        <w:rPr>
          <w:rFonts w:hint="eastAsia"/>
        </w:rPr>
        <w:t>[</w:t>
      </w:r>
      <w:r>
        <w:t>11]</w:t>
      </w:r>
      <w:r>
        <w:rPr>
          <w:rFonts w:hint="eastAsia"/>
        </w:rPr>
        <w:t>交通部海事局第23号 内河船舶法定检验技术规则，2019</w:t>
      </w:r>
    </w:p>
    <w:p w14:paraId="2157B869" w14:textId="77777777" w:rsidR="00DF13B1" w:rsidRDefault="00714F4B">
      <w:pPr>
        <w:pStyle w:val="afff2"/>
      </w:pPr>
      <w:r>
        <w:rPr>
          <w:rFonts w:hint="eastAsia"/>
        </w:rPr>
        <w:t>[</w:t>
      </w:r>
      <w:r>
        <w:t>12]</w:t>
      </w:r>
      <w:r>
        <w:rPr>
          <w:rFonts w:hint="eastAsia"/>
        </w:rPr>
        <w:t>交通部长航局第4号 三峡-葛洲坝水利枢纽通航调度规程，2018</w:t>
      </w:r>
    </w:p>
    <w:p w14:paraId="2157B86A" w14:textId="77777777" w:rsidR="00DF13B1" w:rsidRDefault="00714F4B">
      <w:pPr>
        <w:pStyle w:val="afff2"/>
      </w:pPr>
      <w:r>
        <w:rPr>
          <w:rFonts w:hint="eastAsia"/>
        </w:rPr>
        <w:t>[</w:t>
      </w:r>
      <w:r>
        <w:t>13]</w:t>
      </w:r>
      <w:r>
        <w:rPr>
          <w:rFonts w:hint="eastAsia"/>
        </w:rPr>
        <w:t>交通部海事局第383号 船舶安全营运和防止污染管理规则，2001</w:t>
      </w:r>
    </w:p>
    <w:p w14:paraId="2157B86B" w14:textId="77777777" w:rsidR="00DF13B1" w:rsidRDefault="00714F4B">
      <w:pPr>
        <w:pStyle w:val="afff2"/>
      </w:pPr>
      <w:r>
        <w:t>[14]</w:t>
      </w:r>
      <w:r>
        <w:rPr>
          <w:rFonts w:hint="eastAsia"/>
        </w:rPr>
        <w:t>交通部安监司第175号交通运输企业安全生产标准化考评管理办法，2012</w:t>
      </w:r>
    </w:p>
    <w:p w14:paraId="2157B86C" w14:textId="77777777" w:rsidR="00DF13B1" w:rsidRDefault="00714F4B">
      <w:pPr>
        <w:pStyle w:val="afff2"/>
        <w:framePr w:hSpace="181" w:vSpace="181" w:wrap="around" w:vAnchor="text" w:hAnchor="page" w:x="3286" w:y="259"/>
        <w:ind w:leftChars="86" w:left="181"/>
        <w:rPr>
          <w:u w:val="single"/>
        </w:rPr>
      </w:pPr>
      <w:r>
        <w:rPr>
          <w:u w:val="single"/>
        </w:rPr>
        <w:t>_________________________________</w:t>
      </w:r>
    </w:p>
    <w:p w14:paraId="2157B86D" w14:textId="77777777" w:rsidR="00DF13B1" w:rsidRDefault="00DF13B1">
      <w:pPr>
        <w:pStyle w:val="afff2"/>
      </w:pPr>
    </w:p>
    <w:sectPr w:rsidR="00DF13B1">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B880" w14:textId="77777777" w:rsidR="00714F4B" w:rsidRDefault="00714F4B">
      <w:r>
        <w:separator/>
      </w:r>
    </w:p>
  </w:endnote>
  <w:endnote w:type="continuationSeparator" w:id="0">
    <w:p w14:paraId="2157B881"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B883" w14:textId="5E205560" w:rsidR="00DF13B1" w:rsidRDefault="00714F4B">
    <w:pPr>
      <w:pStyle w:val="afffc"/>
    </w:pPr>
    <w:r>
      <w:fldChar w:fldCharType="begin"/>
    </w:r>
    <w:r>
      <w:instrText xml:space="preserve"> PAGE  \* MERGEFORMAT </w:instrText>
    </w:r>
    <w:r>
      <w:fldChar w:fldCharType="separate"/>
    </w:r>
    <w:r w:rsidR="00992D9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B87E" w14:textId="77777777" w:rsidR="00714F4B" w:rsidRDefault="00714F4B">
      <w:r>
        <w:separator/>
      </w:r>
    </w:p>
  </w:footnote>
  <w:footnote w:type="continuationSeparator" w:id="0">
    <w:p w14:paraId="2157B87F" w14:textId="77777777" w:rsidR="00714F4B" w:rsidRDefault="0071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B882" w14:textId="77777777" w:rsidR="00DF13B1" w:rsidRDefault="00714F4B">
    <w:pPr>
      <w:pStyle w:val="afff0"/>
      <w:jc w:val="right"/>
      <w:rPr>
        <w:rFonts w:ascii="黑体" w:eastAsia="黑体" w:hAnsi="黑体"/>
      </w:rPr>
    </w:pPr>
    <w:r>
      <w:rPr>
        <w:rFonts w:ascii="黑体" w:eastAsia="黑体" w:hAnsi="黑体"/>
      </w:rPr>
      <w:t>WB/T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f0"/>
      <w:suff w:val="nothing"/>
      <w:lvlText w:val="%1%2　"/>
      <w:lvlJc w:val="left"/>
      <w:pPr>
        <w:ind w:left="0" w:firstLine="0"/>
      </w:pPr>
      <w:rPr>
        <w:rFonts w:ascii="黑体" w:eastAsia="黑体" w:hint="eastAsia"/>
        <w:b w:val="0"/>
        <w:i w:val="0"/>
        <w:sz w:val="21"/>
      </w:rPr>
    </w:lvl>
    <w:lvl w:ilvl="2">
      <w:start w:val="1"/>
      <w:numFmt w:val="decimal"/>
      <w:pStyle w:val="a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6D6C07CD"/>
    <w:multiLevelType w:val="multilevel"/>
    <w:tmpl w:val="6D6C07CD"/>
    <w:lvl w:ilvl="0">
      <w:start w:val="1"/>
      <w:numFmt w:val="lowerLetter"/>
      <w:pStyle w:val="aff2"/>
      <w:lvlText w:val="%1)"/>
      <w:lvlJc w:val="left"/>
      <w:pPr>
        <w:tabs>
          <w:tab w:val="left" w:pos="839"/>
        </w:tabs>
        <w:ind w:left="839" w:hanging="419"/>
      </w:pPr>
      <w:rPr>
        <w:rFonts w:ascii="宋体" w:eastAsia="宋体" w:hint="eastAsia"/>
        <w:b w:val="0"/>
        <w:i w:val="0"/>
        <w:sz w:val="21"/>
      </w:rPr>
    </w:lvl>
    <w:lvl w:ilvl="1">
      <w:start w:val="1"/>
      <w:numFmt w:val="decimal"/>
      <w:pStyle w:val="aff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7"/>
  </w:num>
  <w:num w:numId="14">
    <w:abstractNumId w:val="5"/>
  </w:num>
  <w:num w:numId="15">
    <w:abstractNumId w:val="3"/>
  </w:num>
  <w:num w:numId="16">
    <w:abstractNumId w:val="13"/>
  </w:num>
  <w:num w:numId="17">
    <w:abstractNumId w:val="9"/>
  </w:num>
  <w:num w:numId="18">
    <w:abstractNumId w:val="16"/>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AD"/>
    <w:rsid w:val="BEB7E014"/>
    <w:rsid w:val="D31EC616"/>
    <w:rsid w:val="EB7BE640"/>
    <w:rsid w:val="EFEF0E79"/>
    <w:rsid w:val="EFFD9AEB"/>
    <w:rsid w:val="F6EFE6E8"/>
    <w:rsid w:val="F7B7EAC7"/>
    <w:rsid w:val="FBC444A5"/>
    <w:rsid w:val="FCC76154"/>
    <w:rsid w:val="FCF32378"/>
    <w:rsid w:val="FDFE449B"/>
    <w:rsid w:val="00000244"/>
    <w:rsid w:val="00000BB3"/>
    <w:rsid w:val="0000185F"/>
    <w:rsid w:val="0000310D"/>
    <w:rsid w:val="00004B91"/>
    <w:rsid w:val="00004E32"/>
    <w:rsid w:val="0000586F"/>
    <w:rsid w:val="0001234D"/>
    <w:rsid w:val="00013D86"/>
    <w:rsid w:val="00013E02"/>
    <w:rsid w:val="0001698B"/>
    <w:rsid w:val="00017E42"/>
    <w:rsid w:val="0002143C"/>
    <w:rsid w:val="00025A65"/>
    <w:rsid w:val="00025F22"/>
    <w:rsid w:val="00026C31"/>
    <w:rsid w:val="00027280"/>
    <w:rsid w:val="000320A7"/>
    <w:rsid w:val="000325EA"/>
    <w:rsid w:val="00035925"/>
    <w:rsid w:val="00036C2C"/>
    <w:rsid w:val="00045A7C"/>
    <w:rsid w:val="00054264"/>
    <w:rsid w:val="00055371"/>
    <w:rsid w:val="00056A24"/>
    <w:rsid w:val="00057CE5"/>
    <w:rsid w:val="000607A3"/>
    <w:rsid w:val="000657F7"/>
    <w:rsid w:val="00067CDF"/>
    <w:rsid w:val="00071EEA"/>
    <w:rsid w:val="00074FBE"/>
    <w:rsid w:val="0007762A"/>
    <w:rsid w:val="00081F6E"/>
    <w:rsid w:val="00083A09"/>
    <w:rsid w:val="0009005E"/>
    <w:rsid w:val="000918A9"/>
    <w:rsid w:val="00092001"/>
    <w:rsid w:val="00092618"/>
    <w:rsid w:val="00092857"/>
    <w:rsid w:val="00092BD8"/>
    <w:rsid w:val="000964C7"/>
    <w:rsid w:val="000979D9"/>
    <w:rsid w:val="000A1B52"/>
    <w:rsid w:val="000A20A9"/>
    <w:rsid w:val="000A48B1"/>
    <w:rsid w:val="000B1C40"/>
    <w:rsid w:val="000B2F0E"/>
    <w:rsid w:val="000B3143"/>
    <w:rsid w:val="000B405D"/>
    <w:rsid w:val="000C2333"/>
    <w:rsid w:val="000C2BE6"/>
    <w:rsid w:val="000C6B05"/>
    <w:rsid w:val="000C6DD6"/>
    <w:rsid w:val="000C73D4"/>
    <w:rsid w:val="000D2E7F"/>
    <w:rsid w:val="000D3D4C"/>
    <w:rsid w:val="000D4F51"/>
    <w:rsid w:val="000D718B"/>
    <w:rsid w:val="000D7BE2"/>
    <w:rsid w:val="000E0C46"/>
    <w:rsid w:val="000E15EE"/>
    <w:rsid w:val="000E552A"/>
    <w:rsid w:val="000F030C"/>
    <w:rsid w:val="000F129C"/>
    <w:rsid w:val="000F174F"/>
    <w:rsid w:val="00100FD8"/>
    <w:rsid w:val="00104E29"/>
    <w:rsid w:val="001056DE"/>
    <w:rsid w:val="001124C0"/>
    <w:rsid w:val="00117A25"/>
    <w:rsid w:val="00121293"/>
    <w:rsid w:val="0013156D"/>
    <w:rsid w:val="0013175F"/>
    <w:rsid w:val="0013364D"/>
    <w:rsid w:val="001343BB"/>
    <w:rsid w:val="001512B4"/>
    <w:rsid w:val="00153A26"/>
    <w:rsid w:val="00156A6B"/>
    <w:rsid w:val="001620A5"/>
    <w:rsid w:val="00164E53"/>
    <w:rsid w:val="00165D35"/>
    <w:rsid w:val="00166088"/>
    <w:rsid w:val="0016699D"/>
    <w:rsid w:val="001670D9"/>
    <w:rsid w:val="0017066C"/>
    <w:rsid w:val="00175159"/>
    <w:rsid w:val="00175AD7"/>
    <w:rsid w:val="00176208"/>
    <w:rsid w:val="0017780C"/>
    <w:rsid w:val="001813B2"/>
    <w:rsid w:val="0018211B"/>
    <w:rsid w:val="00183FE1"/>
    <w:rsid w:val="001840D3"/>
    <w:rsid w:val="00184782"/>
    <w:rsid w:val="0018602B"/>
    <w:rsid w:val="00186A4A"/>
    <w:rsid w:val="00187A8A"/>
    <w:rsid w:val="001900BE"/>
    <w:rsid w:val="001900F8"/>
    <w:rsid w:val="00191258"/>
    <w:rsid w:val="001922C9"/>
    <w:rsid w:val="00192680"/>
    <w:rsid w:val="00193037"/>
    <w:rsid w:val="00193375"/>
    <w:rsid w:val="00193A2C"/>
    <w:rsid w:val="001A128B"/>
    <w:rsid w:val="001A288E"/>
    <w:rsid w:val="001B2983"/>
    <w:rsid w:val="001B36ED"/>
    <w:rsid w:val="001B6DC2"/>
    <w:rsid w:val="001B71E6"/>
    <w:rsid w:val="001B738A"/>
    <w:rsid w:val="001B754B"/>
    <w:rsid w:val="001C149C"/>
    <w:rsid w:val="001C21AC"/>
    <w:rsid w:val="001C26F0"/>
    <w:rsid w:val="001C3689"/>
    <w:rsid w:val="001C47BA"/>
    <w:rsid w:val="001C59EA"/>
    <w:rsid w:val="001D3556"/>
    <w:rsid w:val="001D406C"/>
    <w:rsid w:val="001D41EE"/>
    <w:rsid w:val="001D4BEB"/>
    <w:rsid w:val="001D71E6"/>
    <w:rsid w:val="001E0380"/>
    <w:rsid w:val="001E0B1B"/>
    <w:rsid w:val="001E13B1"/>
    <w:rsid w:val="001E2153"/>
    <w:rsid w:val="001E678A"/>
    <w:rsid w:val="001F2272"/>
    <w:rsid w:val="001F3A19"/>
    <w:rsid w:val="00200647"/>
    <w:rsid w:val="002009E4"/>
    <w:rsid w:val="00201053"/>
    <w:rsid w:val="0020251B"/>
    <w:rsid w:val="002043BE"/>
    <w:rsid w:val="002073D3"/>
    <w:rsid w:val="00215D48"/>
    <w:rsid w:val="0021624B"/>
    <w:rsid w:val="00220B61"/>
    <w:rsid w:val="0022185E"/>
    <w:rsid w:val="00221A90"/>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47B3"/>
    <w:rsid w:val="002778AE"/>
    <w:rsid w:val="00281323"/>
    <w:rsid w:val="0028269A"/>
    <w:rsid w:val="00283590"/>
    <w:rsid w:val="002839F1"/>
    <w:rsid w:val="00286973"/>
    <w:rsid w:val="00287674"/>
    <w:rsid w:val="002938A4"/>
    <w:rsid w:val="00293EA8"/>
    <w:rsid w:val="00294E70"/>
    <w:rsid w:val="002954B8"/>
    <w:rsid w:val="002967B2"/>
    <w:rsid w:val="002A01E5"/>
    <w:rsid w:val="002A1924"/>
    <w:rsid w:val="002A7420"/>
    <w:rsid w:val="002A7A7E"/>
    <w:rsid w:val="002B0F12"/>
    <w:rsid w:val="002B1308"/>
    <w:rsid w:val="002B4554"/>
    <w:rsid w:val="002B5153"/>
    <w:rsid w:val="002B707C"/>
    <w:rsid w:val="002C05E0"/>
    <w:rsid w:val="002C0C96"/>
    <w:rsid w:val="002C72D8"/>
    <w:rsid w:val="002D11FA"/>
    <w:rsid w:val="002D17BC"/>
    <w:rsid w:val="002D19A4"/>
    <w:rsid w:val="002D6352"/>
    <w:rsid w:val="002D74D3"/>
    <w:rsid w:val="002E0DDF"/>
    <w:rsid w:val="002E2906"/>
    <w:rsid w:val="002E5635"/>
    <w:rsid w:val="002E64C3"/>
    <w:rsid w:val="002E6A2C"/>
    <w:rsid w:val="002F035E"/>
    <w:rsid w:val="002F0FE8"/>
    <w:rsid w:val="002F1D8C"/>
    <w:rsid w:val="002F21DA"/>
    <w:rsid w:val="002F34B8"/>
    <w:rsid w:val="00301F39"/>
    <w:rsid w:val="00303D27"/>
    <w:rsid w:val="00305BEE"/>
    <w:rsid w:val="003061C2"/>
    <w:rsid w:val="00313962"/>
    <w:rsid w:val="003173D2"/>
    <w:rsid w:val="003234E0"/>
    <w:rsid w:val="00325926"/>
    <w:rsid w:val="00327A8A"/>
    <w:rsid w:val="003306D6"/>
    <w:rsid w:val="003339A3"/>
    <w:rsid w:val="00336610"/>
    <w:rsid w:val="00341F5C"/>
    <w:rsid w:val="00343D23"/>
    <w:rsid w:val="00343F73"/>
    <w:rsid w:val="00345060"/>
    <w:rsid w:val="00345091"/>
    <w:rsid w:val="003451FB"/>
    <w:rsid w:val="0034622C"/>
    <w:rsid w:val="00352629"/>
    <w:rsid w:val="0035323B"/>
    <w:rsid w:val="00353D19"/>
    <w:rsid w:val="003547F6"/>
    <w:rsid w:val="0035785A"/>
    <w:rsid w:val="003609D2"/>
    <w:rsid w:val="00363F22"/>
    <w:rsid w:val="00364024"/>
    <w:rsid w:val="00364940"/>
    <w:rsid w:val="00375564"/>
    <w:rsid w:val="00376489"/>
    <w:rsid w:val="00383191"/>
    <w:rsid w:val="00386DED"/>
    <w:rsid w:val="003912E7"/>
    <w:rsid w:val="003919BF"/>
    <w:rsid w:val="00393947"/>
    <w:rsid w:val="00395141"/>
    <w:rsid w:val="003A0E27"/>
    <w:rsid w:val="003A11EA"/>
    <w:rsid w:val="003A2275"/>
    <w:rsid w:val="003A51AC"/>
    <w:rsid w:val="003A6A4F"/>
    <w:rsid w:val="003A6BD8"/>
    <w:rsid w:val="003A7088"/>
    <w:rsid w:val="003B00DF"/>
    <w:rsid w:val="003B1275"/>
    <w:rsid w:val="003B1778"/>
    <w:rsid w:val="003C11CB"/>
    <w:rsid w:val="003C3017"/>
    <w:rsid w:val="003C6A77"/>
    <w:rsid w:val="003C75F3"/>
    <w:rsid w:val="003C78A3"/>
    <w:rsid w:val="003D36AB"/>
    <w:rsid w:val="003D485D"/>
    <w:rsid w:val="003E1867"/>
    <w:rsid w:val="003E5658"/>
    <w:rsid w:val="003E5729"/>
    <w:rsid w:val="003E724E"/>
    <w:rsid w:val="003F1D40"/>
    <w:rsid w:val="003F22BB"/>
    <w:rsid w:val="003F2A5B"/>
    <w:rsid w:val="003F423D"/>
    <w:rsid w:val="003F4EE0"/>
    <w:rsid w:val="003F5559"/>
    <w:rsid w:val="00400473"/>
    <w:rsid w:val="00402153"/>
    <w:rsid w:val="00402E26"/>
    <w:rsid w:val="00402FC1"/>
    <w:rsid w:val="00403EA5"/>
    <w:rsid w:val="00405B60"/>
    <w:rsid w:val="004200D9"/>
    <w:rsid w:val="00425082"/>
    <w:rsid w:val="00431DEB"/>
    <w:rsid w:val="00436EAC"/>
    <w:rsid w:val="0044259D"/>
    <w:rsid w:val="004439D9"/>
    <w:rsid w:val="00446B29"/>
    <w:rsid w:val="00447DDF"/>
    <w:rsid w:val="00451ED2"/>
    <w:rsid w:val="004524BE"/>
    <w:rsid w:val="00453F9A"/>
    <w:rsid w:val="00454CC3"/>
    <w:rsid w:val="00455EB4"/>
    <w:rsid w:val="004562E9"/>
    <w:rsid w:val="00464903"/>
    <w:rsid w:val="00471E91"/>
    <w:rsid w:val="00474079"/>
    <w:rsid w:val="00474675"/>
    <w:rsid w:val="0047470C"/>
    <w:rsid w:val="00484C88"/>
    <w:rsid w:val="00487FC5"/>
    <w:rsid w:val="004A203E"/>
    <w:rsid w:val="004A2C6B"/>
    <w:rsid w:val="004A35F9"/>
    <w:rsid w:val="004A4662"/>
    <w:rsid w:val="004A7E02"/>
    <w:rsid w:val="004B157A"/>
    <w:rsid w:val="004B24C1"/>
    <w:rsid w:val="004B3092"/>
    <w:rsid w:val="004B3436"/>
    <w:rsid w:val="004B49B1"/>
    <w:rsid w:val="004B557C"/>
    <w:rsid w:val="004C292F"/>
    <w:rsid w:val="004C657F"/>
    <w:rsid w:val="004D306F"/>
    <w:rsid w:val="004D4AF8"/>
    <w:rsid w:val="004D4B02"/>
    <w:rsid w:val="004D4F76"/>
    <w:rsid w:val="004E4B13"/>
    <w:rsid w:val="004E4B8C"/>
    <w:rsid w:val="004E5A47"/>
    <w:rsid w:val="004F1E58"/>
    <w:rsid w:val="004F758B"/>
    <w:rsid w:val="005036E2"/>
    <w:rsid w:val="00510280"/>
    <w:rsid w:val="00513D73"/>
    <w:rsid w:val="005148B3"/>
    <w:rsid w:val="00514A43"/>
    <w:rsid w:val="00514EBC"/>
    <w:rsid w:val="00515E9C"/>
    <w:rsid w:val="005174E5"/>
    <w:rsid w:val="00520898"/>
    <w:rsid w:val="00522393"/>
    <w:rsid w:val="00522620"/>
    <w:rsid w:val="005254E8"/>
    <w:rsid w:val="00525656"/>
    <w:rsid w:val="00525BF3"/>
    <w:rsid w:val="005318FC"/>
    <w:rsid w:val="00534C02"/>
    <w:rsid w:val="00536B1E"/>
    <w:rsid w:val="0054044C"/>
    <w:rsid w:val="0054264B"/>
    <w:rsid w:val="00543542"/>
    <w:rsid w:val="00543786"/>
    <w:rsid w:val="00545A49"/>
    <w:rsid w:val="005463CC"/>
    <w:rsid w:val="00546D0D"/>
    <w:rsid w:val="00550D0D"/>
    <w:rsid w:val="0055153A"/>
    <w:rsid w:val="005533D7"/>
    <w:rsid w:val="00554B63"/>
    <w:rsid w:val="00562CF6"/>
    <w:rsid w:val="0056544B"/>
    <w:rsid w:val="00566C49"/>
    <w:rsid w:val="00567177"/>
    <w:rsid w:val="005703DE"/>
    <w:rsid w:val="005710BC"/>
    <w:rsid w:val="00571F1E"/>
    <w:rsid w:val="005755F1"/>
    <w:rsid w:val="00582BBE"/>
    <w:rsid w:val="0058464E"/>
    <w:rsid w:val="0058650E"/>
    <w:rsid w:val="005A01CB"/>
    <w:rsid w:val="005A19A9"/>
    <w:rsid w:val="005A58FF"/>
    <w:rsid w:val="005A5EAF"/>
    <w:rsid w:val="005A6491"/>
    <w:rsid w:val="005A64C0"/>
    <w:rsid w:val="005A67A4"/>
    <w:rsid w:val="005B1985"/>
    <w:rsid w:val="005B3C11"/>
    <w:rsid w:val="005B6A87"/>
    <w:rsid w:val="005C1C28"/>
    <w:rsid w:val="005C43D0"/>
    <w:rsid w:val="005C6AA4"/>
    <w:rsid w:val="005C6DB5"/>
    <w:rsid w:val="005D3842"/>
    <w:rsid w:val="005D4BDA"/>
    <w:rsid w:val="005D5490"/>
    <w:rsid w:val="005E0BC2"/>
    <w:rsid w:val="005E19E7"/>
    <w:rsid w:val="005E2392"/>
    <w:rsid w:val="00601622"/>
    <w:rsid w:val="0060789B"/>
    <w:rsid w:val="0061037E"/>
    <w:rsid w:val="00611D6B"/>
    <w:rsid w:val="00612A06"/>
    <w:rsid w:val="00613FAA"/>
    <w:rsid w:val="006159F8"/>
    <w:rsid w:val="00616C36"/>
    <w:rsid w:val="0061716C"/>
    <w:rsid w:val="006171AF"/>
    <w:rsid w:val="00617868"/>
    <w:rsid w:val="00621370"/>
    <w:rsid w:val="006243A1"/>
    <w:rsid w:val="00626005"/>
    <w:rsid w:val="00632E56"/>
    <w:rsid w:val="00635CBA"/>
    <w:rsid w:val="00636EFC"/>
    <w:rsid w:val="006410D1"/>
    <w:rsid w:val="0064338B"/>
    <w:rsid w:val="00646542"/>
    <w:rsid w:val="006504F4"/>
    <w:rsid w:val="0065366F"/>
    <w:rsid w:val="00654BC9"/>
    <w:rsid w:val="006552FD"/>
    <w:rsid w:val="00655609"/>
    <w:rsid w:val="00656F0B"/>
    <w:rsid w:val="00663733"/>
    <w:rsid w:val="00663AF3"/>
    <w:rsid w:val="00663D0C"/>
    <w:rsid w:val="00666B6C"/>
    <w:rsid w:val="0067254B"/>
    <w:rsid w:val="00677B54"/>
    <w:rsid w:val="00682682"/>
    <w:rsid w:val="00682702"/>
    <w:rsid w:val="006839C2"/>
    <w:rsid w:val="00684F8B"/>
    <w:rsid w:val="00687471"/>
    <w:rsid w:val="00692368"/>
    <w:rsid w:val="00692B09"/>
    <w:rsid w:val="00695192"/>
    <w:rsid w:val="006961E1"/>
    <w:rsid w:val="006A07F7"/>
    <w:rsid w:val="006A2EBC"/>
    <w:rsid w:val="006A5EA0"/>
    <w:rsid w:val="006A783B"/>
    <w:rsid w:val="006A7948"/>
    <w:rsid w:val="006A7B33"/>
    <w:rsid w:val="006B2C14"/>
    <w:rsid w:val="006B497F"/>
    <w:rsid w:val="006B4E13"/>
    <w:rsid w:val="006B75DD"/>
    <w:rsid w:val="006C047C"/>
    <w:rsid w:val="006C3D8B"/>
    <w:rsid w:val="006C67E0"/>
    <w:rsid w:val="006C737C"/>
    <w:rsid w:val="006C7ABA"/>
    <w:rsid w:val="006D0A13"/>
    <w:rsid w:val="006D0D60"/>
    <w:rsid w:val="006D1122"/>
    <w:rsid w:val="006D317E"/>
    <w:rsid w:val="006D3B1E"/>
    <w:rsid w:val="006D3C00"/>
    <w:rsid w:val="006E06AD"/>
    <w:rsid w:val="006E3675"/>
    <w:rsid w:val="006E4A7F"/>
    <w:rsid w:val="006F0967"/>
    <w:rsid w:val="006F2274"/>
    <w:rsid w:val="006F5DB5"/>
    <w:rsid w:val="006F64A0"/>
    <w:rsid w:val="0070038F"/>
    <w:rsid w:val="007027B1"/>
    <w:rsid w:val="0070286C"/>
    <w:rsid w:val="00704DF6"/>
    <w:rsid w:val="0070641D"/>
    <w:rsid w:val="0070651C"/>
    <w:rsid w:val="007132A3"/>
    <w:rsid w:val="00714F4B"/>
    <w:rsid w:val="00715C55"/>
    <w:rsid w:val="00716421"/>
    <w:rsid w:val="00720361"/>
    <w:rsid w:val="00721419"/>
    <w:rsid w:val="00724EFB"/>
    <w:rsid w:val="00726575"/>
    <w:rsid w:val="00730310"/>
    <w:rsid w:val="00740A49"/>
    <w:rsid w:val="007419C3"/>
    <w:rsid w:val="00744EAF"/>
    <w:rsid w:val="0074500A"/>
    <w:rsid w:val="00746559"/>
    <w:rsid w:val="007467A7"/>
    <w:rsid w:val="007469DD"/>
    <w:rsid w:val="0074741B"/>
    <w:rsid w:val="0074759E"/>
    <w:rsid w:val="007478EA"/>
    <w:rsid w:val="0075415C"/>
    <w:rsid w:val="00757097"/>
    <w:rsid w:val="007575E9"/>
    <w:rsid w:val="007606CB"/>
    <w:rsid w:val="00761E8B"/>
    <w:rsid w:val="00763502"/>
    <w:rsid w:val="00776D27"/>
    <w:rsid w:val="00780DE2"/>
    <w:rsid w:val="00785D5B"/>
    <w:rsid w:val="007913AB"/>
    <w:rsid w:val="007914F7"/>
    <w:rsid w:val="00795C73"/>
    <w:rsid w:val="007A4809"/>
    <w:rsid w:val="007A7F8F"/>
    <w:rsid w:val="007B10DE"/>
    <w:rsid w:val="007B1625"/>
    <w:rsid w:val="007B3349"/>
    <w:rsid w:val="007B706E"/>
    <w:rsid w:val="007B71EB"/>
    <w:rsid w:val="007C0748"/>
    <w:rsid w:val="007C54E9"/>
    <w:rsid w:val="007C6205"/>
    <w:rsid w:val="007C686A"/>
    <w:rsid w:val="007C728E"/>
    <w:rsid w:val="007D0BE0"/>
    <w:rsid w:val="007D204F"/>
    <w:rsid w:val="007D2C53"/>
    <w:rsid w:val="007D2C68"/>
    <w:rsid w:val="007D3D60"/>
    <w:rsid w:val="007E1980"/>
    <w:rsid w:val="007E308C"/>
    <w:rsid w:val="007E4B76"/>
    <w:rsid w:val="007E5043"/>
    <w:rsid w:val="007E5EA8"/>
    <w:rsid w:val="007F0CF1"/>
    <w:rsid w:val="007F12A5"/>
    <w:rsid w:val="007F2D74"/>
    <w:rsid w:val="007F3322"/>
    <w:rsid w:val="007F3FB7"/>
    <w:rsid w:val="007F4CF1"/>
    <w:rsid w:val="007F758D"/>
    <w:rsid w:val="007F7D52"/>
    <w:rsid w:val="008018DA"/>
    <w:rsid w:val="0080484A"/>
    <w:rsid w:val="00805589"/>
    <w:rsid w:val="008057A5"/>
    <w:rsid w:val="00805E2F"/>
    <w:rsid w:val="0080654C"/>
    <w:rsid w:val="008071C6"/>
    <w:rsid w:val="0081276E"/>
    <w:rsid w:val="00817A00"/>
    <w:rsid w:val="00820B95"/>
    <w:rsid w:val="00825891"/>
    <w:rsid w:val="00831631"/>
    <w:rsid w:val="0083228D"/>
    <w:rsid w:val="00833D07"/>
    <w:rsid w:val="008340A0"/>
    <w:rsid w:val="00835DB3"/>
    <w:rsid w:val="0083617B"/>
    <w:rsid w:val="00836342"/>
    <w:rsid w:val="00836A2D"/>
    <w:rsid w:val="008371BD"/>
    <w:rsid w:val="00840EBF"/>
    <w:rsid w:val="008504A8"/>
    <w:rsid w:val="00851B58"/>
    <w:rsid w:val="0085282E"/>
    <w:rsid w:val="00856B6A"/>
    <w:rsid w:val="0087198C"/>
    <w:rsid w:val="00872C1F"/>
    <w:rsid w:val="00873662"/>
    <w:rsid w:val="00873B42"/>
    <w:rsid w:val="00875222"/>
    <w:rsid w:val="00876B36"/>
    <w:rsid w:val="00877CB0"/>
    <w:rsid w:val="008805AC"/>
    <w:rsid w:val="00880D1A"/>
    <w:rsid w:val="00884468"/>
    <w:rsid w:val="008856D8"/>
    <w:rsid w:val="00892E82"/>
    <w:rsid w:val="00893277"/>
    <w:rsid w:val="00895FA9"/>
    <w:rsid w:val="008A1035"/>
    <w:rsid w:val="008A2A21"/>
    <w:rsid w:val="008A6E08"/>
    <w:rsid w:val="008C0BE9"/>
    <w:rsid w:val="008C1B58"/>
    <w:rsid w:val="008C2468"/>
    <w:rsid w:val="008C39AE"/>
    <w:rsid w:val="008C40DF"/>
    <w:rsid w:val="008C590D"/>
    <w:rsid w:val="008D447E"/>
    <w:rsid w:val="008D7566"/>
    <w:rsid w:val="008E031B"/>
    <w:rsid w:val="008E0560"/>
    <w:rsid w:val="008E2AB0"/>
    <w:rsid w:val="008E2D8C"/>
    <w:rsid w:val="008E555F"/>
    <w:rsid w:val="008E7029"/>
    <w:rsid w:val="008E7EF6"/>
    <w:rsid w:val="008F1F98"/>
    <w:rsid w:val="008F2340"/>
    <w:rsid w:val="008F2790"/>
    <w:rsid w:val="008F4FFA"/>
    <w:rsid w:val="008F6758"/>
    <w:rsid w:val="009040DD"/>
    <w:rsid w:val="00905B47"/>
    <w:rsid w:val="0090690F"/>
    <w:rsid w:val="00910C21"/>
    <w:rsid w:val="00911391"/>
    <w:rsid w:val="0091331C"/>
    <w:rsid w:val="009137BD"/>
    <w:rsid w:val="0091503D"/>
    <w:rsid w:val="0092063C"/>
    <w:rsid w:val="00922B95"/>
    <w:rsid w:val="009279DE"/>
    <w:rsid w:val="00927AB9"/>
    <w:rsid w:val="00927B37"/>
    <w:rsid w:val="00930116"/>
    <w:rsid w:val="00930625"/>
    <w:rsid w:val="009351C6"/>
    <w:rsid w:val="00940306"/>
    <w:rsid w:val="00941082"/>
    <w:rsid w:val="0094212C"/>
    <w:rsid w:val="00943CFE"/>
    <w:rsid w:val="00944853"/>
    <w:rsid w:val="0094609D"/>
    <w:rsid w:val="00950221"/>
    <w:rsid w:val="0095378C"/>
    <w:rsid w:val="00954689"/>
    <w:rsid w:val="0095472A"/>
    <w:rsid w:val="00954F02"/>
    <w:rsid w:val="00957B99"/>
    <w:rsid w:val="0096085A"/>
    <w:rsid w:val="009617C9"/>
    <w:rsid w:val="00961C93"/>
    <w:rsid w:val="00962B4E"/>
    <w:rsid w:val="00965324"/>
    <w:rsid w:val="0097091E"/>
    <w:rsid w:val="00973AB4"/>
    <w:rsid w:val="009760D3"/>
    <w:rsid w:val="00977132"/>
    <w:rsid w:val="00981A4B"/>
    <w:rsid w:val="00982250"/>
    <w:rsid w:val="00982501"/>
    <w:rsid w:val="00982FF7"/>
    <w:rsid w:val="00983D33"/>
    <w:rsid w:val="00984358"/>
    <w:rsid w:val="009877D3"/>
    <w:rsid w:val="00992D9D"/>
    <w:rsid w:val="00994E8F"/>
    <w:rsid w:val="009951DC"/>
    <w:rsid w:val="009959BB"/>
    <w:rsid w:val="00996BE2"/>
    <w:rsid w:val="00997158"/>
    <w:rsid w:val="009A0827"/>
    <w:rsid w:val="009A3A7C"/>
    <w:rsid w:val="009A5D33"/>
    <w:rsid w:val="009A7D84"/>
    <w:rsid w:val="009B2323"/>
    <w:rsid w:val="009B2ADB"/>
    <w:rsid w:val="009B603A"/>
    <w:rsid w:val="009C2D0E"/>
    <w:rsid w:val="009C3DAC"/>
    <w:rsid w:val="009C42E0"/>
    <w:rsid w:val="009D2A22"/>
    <w:rsid w:val="009D3230"/>
    <w:rsid w:val="009D5362"/>
    <w:rsid w:val="009E1415"/>
    <w:rsid w:val="009E6116"/>
    <w:rsid w:val="009E7E25"/>
    <w:rsid w:val="009F06BC"/>
    <w:rsid w:val="00A02E43"/>
    <w:rsid w:val="00A05368"/>
    <w:rsid w:val="00A065F9"/>
    <w:rsid w:val="00A07011"/>
    <w:rsid w:val="00A074C4"/>
    <w:rsid w:val="00A07F34"/>
    <w:rsid w:val="00A20D17"/>
    <w:rsid w:val="00A20D2A"/>
    <w:rsid w:val="00A22154"/>
    <w:rsid w:val="00A24058"/>
    <w:rsid w:val="00A25C38"/>
    <w:rsid w:val="00A35824"/>
    <w:rsid w:val="00A36BBE"/>
    <w:rsid w:val="00A37C20"/>
    <w:rsid w:val="00A40D9E"/>
    <w:rsid w:val="00A41DF7"/>
    <w:rsid w:val="00A420B1"/>
    <w:rsid w:val="00A42ECA"/>
    <w:rsid w:val="00A4307A"/>
    <w:rsid w:val="00A46DEF"/>
    <w:rsid w:val="00A47EBB"/>
    <w:rsid w:val="00A50EEC"/>
    <w:rsid w:val="00A51CDD"/>
    <w:rsid w:val="00A5204D"/>
    <w:rsid w:val="00A54A1F"/>
    <w:rsid w:val="00A55782"/>
    <w:rsid w:val="00A563F8"/>
    <w:rsid w:val="00A56BBA"/>
    <w:rsid w:val="00A6730D"/>
    <w:rsid w:val="00A71625"/>
    <w:rsid w:val="00A71B9B"/>
    <w:rsid w:val="00A751C7"/>
    <w:rsid w:val="00A80008"/>
    <w:rsid w:val="00A84CE5"/>
    <w:rsid w:val="00A87844"/>
    <w:rsid w:val="00A9227B"/>
    <w:rsid w:val="00A9507D"/>
    <w:rsid w:val="00A95B58"/>
    <w:rsid w:val="00A976C5"/>
    <w:rsid w:val="00A97A55"/>
    <w:rsid w:val="00AA038C"/>
    <w:rsid w:val="00AA7A09"/>
    <w:rsid w:val="00AB3B50"/>
    <w:rsid w:val="00AB7D74"/>
    <w:rsid w:val="00AC05B1"/>
    <w:rsid w:val="00AC450C"/>
    <w:rsid w:val="00AC6E14"/>
    <w:rsid w:val="00AD340B"/>
    <w:rsid w:val="00AD356C"/>
    <w:rsid w:val="00AD4900"/>
    <w:rsid w:val="00AD6EAB"/>
    <w:rsid w:val="00AE2914"/>
    <w:rsid w:val="00AE505E"/>
    <w:rsid w:val="00AE6D15"/>
    <w:rsid w:val="00AE7023"/>
    <w:rsid w:val="00AE78AA"/>
    <w:rsid w:val="00AF0EF3"/>
    <w:rsid w:val="00AF1F49"/>
    <w:rsid w:val="00AF2D81"/>
    <w:rsid w:val="00B04182"/>
    <w:rsid w:val="00B05B87"/>
    <w:rsid w:val="00B05ECF"/>
    <w:rsid w:val="00B07AE3"/>
    <w:rsid w:val="00B11430"/>
    <w:rsid w:val="00B12A5D"/>
    <w:rsid w:val="00B217AD"/>
    <w:rsid w:val="00B242F4"/>
    <w:rsid w:val="00B2477A"/>
    <w:rsid w:val="00B24D1C"/>
    <w:rsid w:val="00B251D0"/>
    <w:rsid w:val="00B30072"/>
    <w:rsid w:val="00B30481"/>
    <w:rsid w:val="00B30B43"/>
    <w:rsid w:val="00B3312F"/>
    <w:rsid w:val="00B353EB"/>
    <w:rsid w:val="00B37A9C"/>
    <w:rsid w:val="00B4016F"/>
    <w:rsid w:val="00B407AC"/>
    <w:rsid w:val="00B439C4"/>
    <w:rsid w:val="00B4535E"/>
    <w:rsid w:val="00B524B4"/>
    <w:rsid w:val="00B52A8C"/>
    <w:rsid w:val="00B54707"/>
    <w:rsid w:val="00B56155"/>
    <w:rsid w:val="00B60A3C"/>
    <w:rsid w:val="00B62F11"/>
    <w:rsid w:val="00B63042"/>
    <w:rsid w:val="00B636A8"/>
    <w:rsid w:val="00B665C6"/>
    <w:rsid w:val="00B706B8"/>
    <w:rsid w:val="00B72AD8"/>
    <w:rsid w:val="00B74441"/>
    <w:rsid w:val="00B758A5"/>
    <w:rsid w:val="00B805AF"/>
    <w:rsid w:val="00B82BD5"/>
    <w:rsid w:val="00B869EC"/>
    <w:rsid w:val="00B92383"/>
    <w:rsid w:val="00B9397A"/>
    <w:rsid w:val="00B948EA"/>
    <w:rsid w:val="00B95AF6"/>
    <w:rsid w:val="00B9633D"/>
    <w:rsid w:val="00B967D5"/>
    <w:rsid w:val="00BA2EBE"/>
    <w:rsid w:val="00BB0F28"/>
    <w:rsid w:val="00BB458A"/>
    <w:rsid w:val="00BB693F"/>
    <w:rsid w:val="00BB6C11"/>
    <w:rsid w:val="00BC5953"/>
    <w:rsid w:val="00BD00D3"/>
    <w:rsid w:val="00BD061F"/>
    <w:rsid w:val="00BD1659"/>
    <w:rsid w:val="00BD3AA9"/>
    <w:rsid w:val="00BD4A18"/>
    <w:rsid w:val="00BD6DB2"/>
    <w:rsid w:val="00BD73A1"/>
    <w:rsid w:val="00BE11CF"/>
    <w:rsid w:val="00BE21AB"/>
    <w:rsid w:val="00BE43C5"/>
    <w:rsid w:val="00BE55CB"/>
    <w:rsid w:val="00BE7067"/>
    <w:rsid w:val="00BE72F4"/>
    <w:rsid w:val="00BF3BB2"/>
    <w:rsid w:val="00BF617A"/>
    <w:rsid w:val="00BF653C"/>
    <w:rsid w:val="00C0379D"/>
    <w:rsid w:val="00C03931"/>
    <w:rsid w:val="00C05FE3"/>
    <w:rsid w:val="00C11DA9"/>
    <w:rsid w:val="00C163BC"/>
    <w:rsid w:val="00C2136D"/>
    <w:rsid w:val="00C214EE"/>
    <w:rsid w:val="00C2314B"/>
    <w:rsid w:val="00C244A0"/>
    <w:rsid w:val="00C24971"/>
    <w:rsid w:val="00C24D67"/>
    <w:rsid w:val="00C25355"/>
    <w:rsid w:val="00C26BE5"/>
    <w:rsid w:val="00C26E4D"/>
    <w:rsid w:val="00C27909"/>
    <w:rsid w:val="00C27B03"/>
    <w:rsid w:val="00C314E1"/>
    <w:rsid w:val="00C34397"/>
    <w:rsid w:val="00C35179"/>
    <w:rsid w:val="00C40503"/>
    <w:rsid w:val="00C4095D"/>
    <w:rsid w:val="00C45D1A"/>
    <w:rsid w:val="00C57A9C"/>
    <w:rsid w:val="00C601D2"/>
    <w:rsid w:val="00C65BCC"/>
    <w:rsid w:val="00C66970"/>
    <w:rsid w:val="00C71F4D"/>
    <w:rsid w:val="00C80F88"/>
    <w:rsid w:val="00C8691C"/>
    <w:rsid w:val="00C86CB4"/>
    <w:rsid w:val="00C96295"/>
    <w:rsid w:val="00C96364"/>
    <w:rsid w:val="00CA03DF"/>
    <w:rsid w:val="00CA168A"/>
    <w:rsid w:val="00CA2097"/>
    <w:rsid w:val="00CA357E"/>
    <w:rsid w:val="00CA44F9"/>
    <w:rsid w:val="00CA4A69"/>
    <w:rsid w:val="00CB2035"/>
    <w:rsid w:val="00CB2C46"/>
    <w:rsid w:val="00CB722E"/>
    <w:rsid w:val="00CC3649"/>
    <w:rsid w:val="00CC3E0C"/>
    <w:rsid w:val="00CC58D3"/>
    <w:rsid w:val="00CC758F"/>
    <w:rsid w:val="00CC784D"/>
    <w:rsid w:val="00CC7FCA"/>
    <w:rsid w:val="00CF16F6"/>
    <w:rsid w:val="00CF1E15"/>
    <w:rsid w:val="00CF618A"/>
    <w:rsid w:val="00CF6670"/>
    <w:rsid w:val="00D00A8D"/>
    <w:rsid w:val="00D013D9"/>
    <w:rsid w:val="00D03268"/>
    <w:rsid w:val="00D0337B"/>
    <w:rsid w:val="00D04BA8"/>
    <w:rsid w:val="00D072A9"/>
    <w:rsid w:val="00D07777"/>
    <w:rsid w:val="00D079B2"/>
    <w:rsid w:val="00D114E9"/>
    <w:rsid w:val="00D17CD8"/>
    <w:rsid w:val="00D2527C"/>
    <w:rsid w:val="00D271C7"/>
    <w:rsid w:val="00D3122B"/>
    <w:rsid w:val="00D313B3"/>
    <w:rsid w:val="00D35B8E"/>
    <w:rsid w:val="00D36677"/>
    <w:rsid w:val="00D40F07"/>
    <w:rsid w:val="00D429C6"/>
    <w:rsid w:val="00D45022"/>
    <w:rsid w:val="00D47748"/>
    <w:rsid w:val="00D5178F"/>
    <w:rsid w:val="00D518DF"/>
    <w:rsid w:val="00D54CC3"/>
    <w:rsid w:val="00D57681"/>
    <w:rsid w:val="00D6041A"/>
    <w:rsid w:val="00D61258"/>
    <w:rsid w:val="00D633EB"/>
    <w:rsid w:val="00D71431"/>
    <w:rsid w:val="00D736AC"/>
    <w:rsid w:val="00D747AA"/>
    <w:rsid w:val="00D75A7E"/>
    <w:rsid w:val="00D80427"/>
    <w:rsid w:val="00D80950"/>
    <w:rsid w:val="00D82FF7"/>
    <w:rsid w:val="00D84271"/>
    <w:rsid w:val="00D847FE"/>
    <w:rsid w:val="00D854D9"/>
    <w:rsid w:val="00D86B9C"/>
    <w:rsid w:val="00D900CD"/>
    <w:rsid w:val="00D90A39"/>
    <w:rsid w:val="00D964EA"/>
    <w:rsid w:val="00D966D0"/>
    <w:rsid w:val="00DA0C59"/>
    <w:rsid w:val="00DA0CD5"/>
    <w:rsid w:val="00DA3991"/>
    <w:rsid w:val="00DA72A1"/>
    <w:rsid w:val="00DA7F95"/>
    <w:rsid w:val="00DB01F1"/>
    <w:rsid w:val="00DB0FF9"/>
    <w:rsid w:val="00DB3222"/>
    <w:rsid w:val="00DB6D7A"/>
    <w:rsid w:val="00DB7E6C"/>
    <w:rsid w:val="00DC166A"/>
    <w:rsid w:val="00DC30E6"/>
    <w:rsid w:val="00DC4F68"/>
    <w:rsid w:val="00DC64B0"/>
    <w:rsid w:val="00DC6B1E"/>
    <w:rsid w:val="00DD252A"/>
    <w:rsid w:val="00DD3276"/>
    <w:rsid w:val="00DD37FE"/>
    <w:rsid w:val="00DD5949"/>
    <w:rsid w:val="00DD5A29"/>
    <w:rsid w:val="00DD5D9D"/>
    <w:rsid w:val="00DE35CB"/>
    <w:rsid w:val="00DF0EF0"/>
    <w:rsid w:val="00DF13B1"/>
    <w:rsid w:val="00DF21E9"/>
    <w:rsid w:val="00DF22C7"/>
    <w:rsid w:val="00DF5588"/>
    <w:rsid w:val="00DF5CC9"/>
    <w:rsid w:val="00DF6D21"/>
    <w:rsid w:val="00DF6DEC"/>
    <w:rsid w:val="00E005D3"/>
    <w:rsid w:val="00E00F14"/>
    <w:rsid w:val="00E014CA"/>
    <w:rsid w:val="00E01CB8"/>
    <w:rsid w:val="00E03063"/>
    <w:rsid w:val="00E06386"/>
    <w:rsid w:val="00E075C5"/>
    <w:rsid w:val="00E1051A"/>
    <w:rsid w:val="00E111F3"/>
    <w:rsid w:val="00E11668"/>
    <w:rsid w:val="00E118E7"/>
    <w:rsid w:val="00E122B7"/>
    <w:rsid w:val="00E217FE"/>
    <w:rsid w:val="00E21B55"/>
    <w:rsid w:val="00E221D3"/>
    <w:rsid w:val="00E239A0"/>
    <w:rsid w:val="00E24EB4"/>
    <w:rsid w:val="00E30635"/>
    <w:rsid w:val="00E320ED"/>
    <w:rsid w:val="00E33AFB"/>
    <w:rsid w:val="00E34218"/>
    <w:rsid w:val="00E37417"/>
    <w:rsid w:val="00E44265"/>
    <w:rsid w:val="00E4555B"/>
    <w:rsid w:val="00E46282"/>
    <w:rsid w:val="00E5216E"/>
    <w:rsid w:val="00E5529C"/>
    <w:rsid w:val="00E55EB1"/>
    <w:rsid w:val="00E64A09"/>
    <w:rsid w:val="00E657C6"/>
    <w:rsid w:val="00E75D40"/>
    <w:rsid w:val="00E81965"/>
    <w:rsid w:val="00E81A88"/>
    <w:rsid w:val="00E82131"/>
    <w:rsid w:val="00E82344"/>
    <w:rsid w:val="00E84346"/>
    <w:rsid w:val="00E843D0"/>
    <w:rsid w:val="00E84C82"/>
    <w:rsid w:val="00E84D64"/>
    <w:rsid w:val="00E87408"/>
    <w:rsid w:val="00E914C4"/>
    <w:rsid w:val="00E9302D"/>
    <w:rsid w:val="00E934F5"/>
    <w:rsid w:val="00E93E15"/>
    <w:rsid w:val="00E947E4"/>
    <w:rsid w:val="00E96961"/>
    <w:rsid w:val="00EA72EC"/>
    <w:rsid w:val="00EB11CB"/>
    <w:rsid w:val="00EB1C71"/>
    <w:rsid w:val="00EB275A"/>
    <w:rsid w:val="00EB54C8"/>
    <w:rsid w:val="00EB57CA"/>
    <w:rsid w:val="00EB6E00"/>
    <w:rsid w:val="00EB786A"/>
    <w:rsid w:val="00EB7997"/>
    <w:rsid w:val="00EC1578"/>
    <w:rsid w:val="00EC1BFC"/>
    <w:rsid w:val="00EC1C72"/>
    <w:rsid w:val="00EC3356"/>
    <w:rsid w:val="00EC3CC9"/>
    <w:rsid w:val="00EC5D85"/>
    <w:rsid w:val="00EC680A"/>
    <w:rsid w:val="00ED511C"/>
    <w:rsid w:val="00ED7229"/>
    <w:rsid w:val="00EE25CB"/>
    <w:rsid w:val="00EE2BED"/>
    <w:rsid w:val="00EE374B"/>
    <w:rsid w:val="00EE4A87"/>
    <w:rsid w:val="00EF163B"/>
    <w:rsid w:val="00EF2869"/>
    <w:rsid w:val="00EF5E25"/>
    <w:rsid w:val="00F05D60"/>
    <w:rsid w:val="00F07224"/>
    <w:rsid w:val="00F07FD3"/>
    <w:rsid w:val="00F11ACB"/>
    <w:rsid w:val="00F11BB5"/>
    <w:rsid w:val="00F1296C"/>
    <w:rsid w:val="00F1417B"/>
    <w:rsid w:val="00F14B38"/>
    <w:rsid w:val="00F1712D"/>
    <w:rsid w:val="00F17A17"/>
    <w:rsid w:val="00F208A0"/>
    <w:rsid w:val="00F2115E"/>
    <w:rsid w:val="00F22809"/>
    <w:rsid w:val="00F27B3D"/>
    <w:rsid w:val="00F30ABD"/>
    <w:rsid w:val="00F34B99"/>
    <w:rsid w:val="00F40B02"/>
    <w:rsid w:val="00F41E81"/>
    <w:rsid w:val="00F44CCE"/>
    <w:rsid w:val="00F45AF6"/>
    <w:rsid w:val="00F51720"/>
    <w:rsid w:val="00F51CF2"/>
    <w:rsid w:val="00F5229E"/>
    <w:rsid w:val="00F52DAB"/>
    <w:rsid w:val="00F543F0"/>
    <w:rsid w:val="00F55E3E"/>
    <w:rsid w:val="00F57601"/>
    <w:rsid w:val="00F60163"/>
    <w:rsid w:val="00F70462"/>
    <w:rsid w:val="00F73F99"/>
    <w:rsid w:val="00F74259"/>
    <w:rsid w:val="00F75F80"/>
    <w:rsid w:val="00F81D29"/>
    <w:rsid w:val="00F8625E"/>
    <w:rsid w:val="00F90BE5"/>
    <w:rsid w:val="00F91C4D"/>
    <w:rsid w:val="00F92FD9"/>
    <w:rsid w:val="00F93759"/>
    <w:rsid w:val="00FA37B1"/>
    <w:rsid w:val="00FA3E0B"/>
    <w:rsid w:val="00FA5EF7"/>
    <w:rsid w:val="00FA6684"/>
    <w:rsid w:val="00FA731E"/>
    <w:rsid w:val="00FA7BD0"/>
    <w:rsid w:val="00FB1DCF"/>
    <w:rsid w:val="00FB2B38"/>
    <w:rsid w:val="00FB61CE"/>
    <w:rsid w:val="00FB7A07"/>
    <w:rsid w:val="00FC0367"/>
    <w:rsid w:val="00FC04CC"/>
    <w:rsid w:val="00FC2066"/>
    <w:rsid w:val="00FC3E2F"/>
    <w:rsid w:val="00FC6358"/>
    <w:rsid w:val="00FD1381"/>
    <w:rsid w:val="00FD320D"/>
    <w:rsid w:val="00FD71D1"/>
    <w:rsid w:val="00FE182B"/>
    <w:rsid w:val="00FE1B98"/>
    <w:rsid w:val="00FE23DE"/>
    <w:rsid w:val="00FE28BE"/>
    <w:rsid w:val="00FE4B5B"/>
    <w:rsid w:val="00FF1801"/>
    <w:rsid w:val="00FF4C1C"/>
    <w:rsid w:val="00FF6842"/>
    <w:rsid w:val="00FF6DFB"/>
    <w:rsid w:val="013F5786"/>
    <w:rsid w:val="09A126D0"/>
    <w:rsid w:val="0CE162B2"/>
    <w:rsid w:val="10B80E64"/>
    <w:rsid w:val="15C600F0"/>
    <w:rsid w:val="1975354D"/>
    <w:rsid w:val="199D6A79"/>
    <w:rsid w:val="1A44000B"/>
    <w:rsid w:val="1C4E4CDD"/>
    <w:rsid w:val="1D7719EE"/>
    <w:rsid w:val="1FF23866"/>
    <w:rsid w:val="2ABC1101"/>
    <w:rsid w:val="2FFF3614"/>
    <w:rsid w:val="357A6E88"/>
    <w:rsid w:val="37201CED"/>
    <w:rsid w:val="37692711"/>
    <w:rsid w:val="3777D886"/>
    <w:rsid w:val="39190D7C"/>
    <w:rsid w:val="3A08348A"/>
    <w:rsid w:val="3B6CEFE3"/>
    <w:rsid w:val="3BDD24E8"/>
    <w:rsid w:val="3D733E64"/>
    <w:rsid w:val="3DDA1D3E"/>
    <w:rsid w:val="3E9B11DF"/>
    <w:rsid w:val="3EE157BA"/>
    <w:rsid w:val="43947DEE"/>
    <w:rsid w:val="49350394"/>
    <w:rsid w:val="52CE23AB"/>
    <w:rsid w:val="54BB72F5"/>
    <w:rsid w:val="5F338A6E"/>
    <w:rsid w:val="659A6A57"/>
    <w:rsid w:val="66702588"/>
    <w:rsid w:val="675D7C41"/>
    <w:rsid w:val="67F1722A"/>
    <w:rsid w:val="688F5152"/>
    <w:rsid w:val="6A4244EA"/>
    <w:rsid w:val="6C26544D"/>
    <w:rsid w:val="6D82276B"/>
    <w:rsid w:val="6FEDEF1B"/>
    <w:rsid w:val="6FFF5F6E"/>
    <w:rsid w:val="71DA7AE0"/>
    <w:rsid w:val="75FFFC54"/>
    <w:rsid w:val="77E76D5E"/>
    <w:rsid w:val="79DF057D"/>
    <w:rsid w:val="7A042DA0"/>
    <w:rsid w:val="7B98E917"/>
    <w:rsid w:val="7CB567B3"/>
    <w:rsid w:val="7D3432BC"/>
    <w:rsid w:val="7D6D1091"/>
    <w:rsid w:val="7E8667C7"/>
    <w:rsid w:val="7FB9F1A5"/>
    <w:rsid w:val="7FF77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157B776"/>
  <w15:docId w15:val="{685D7AC9-8EAB-4BBB-A3B9-D50C25F1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pPr>
      <w:widowControl w:val="0"/>
      <w:jc w:val="both"/>
    </w:pPr>
    <w:rPr>
      <w:rFonts w:ascii="Times New Roman" w:hAnsi="Times New Roman"/>
      <w:kern w:val="2"/>
      <w:sz w:val="21"/>
      <w:szCs w:val="24"/>
    </w:rPr>
  </w:style>
  <w:style w:type="paragraph" w:styleId="1">
    <w:name w:val="heading 1"/>
    <w:basedOn w:val="aff4"/>
    <w:next w:val="aff4"/>
    <w:qFormat/>
    <w:pPr>
      <w:spacing w:beforeAutospacing="1" w:afterAutospacing="1"/>
      <w:jc w:val="left"/>
      <w:outlineLvl w:val="0"/>
    </w:pPr>
    <w:rPr>
      <w:rFonts w:ascii="宋体" w:hAnsi="宋体" w:hint="eastAsia"/>
      <w:b/>
      <w:kern w:val="44"/>
      <w:sz w:val="48"/>
      <w:szCs w:val="48"/>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7">
    <w:name w:val="toc 7"/>
    <w:basedOn w:val="aff4"/>
    <w:next w:val="aff4"/>
    <w:semiHidden/>
    <w:qFormat/>
    <w:pPr>
      <w:tabs>
        <w:tab w:val="right" w:leader="dot" w:pos="9241"/>
      </w:tabs>
      <w:ind w:firstLineChars="500" w:firstLine="500"/>
      <w:jc w:val="left"/>
    </w:pPr>
    <w:rPr>
      <w:rFonts w:ascii="宋体"/>
      <w:szCs w:val="21"/>
    </w:rPr>
  </w:style>
  <w:style w:type="paragraph" w:styleId="8">
    <w:name w:val="index 8"/>
    <w:basedOn w:val="aff4"/>
    <w:next w:val="aff4"/>
    <w:qFormat/>
    <w:pPr>
      <w:ind w:left="1680" w:hanging="210"/>
      <w:jc w:val="left"/>
    </w:pPr>
    <w:rPr>
      <w:rFonts w:ascii="Calibri" w:hAnsi="Calibri"/>
      <w:sz w:val="20"/>
      <w:szCs w:val="20"/>
    </w:rPr>
  </w:style>
  <w:style w:type="paragraph" w:styleId="aff8">
    <w:name w:val="caption"/>
    <w:basedOn w:val="aff4"/>
    <w:next w:val="aff4"/>
    <w:qFormat/>
    <w:pPr>
      <w:spacing w:before="152" w:after="160"/>
    </w:pPr>
    <w:rPr>
      <w:rFonts w:ascii="Arial" w:eastAsia="黑体" w:hAnsi="Arial" w:cs="Arial"/>
      <w:sz w:val="20"/>
      <w:szCs w:val="20"/>
    </w:rPr>
  </w:style>
  <w:style w:type="paragraph" w:styleId="5">
    <w:name w:val="index 5"/>
    <w:basedOn w:val="aff4"/>
    <w:next w:val="aff4"/>
    <w:qFormat/>
    <w:pPr>
      <w:ind w:left="1050" w:hanging="210"/>
      <w:jc w:val="left"/>
    </w:pPr>
    <w:rPr>
      <w:rFonts w:ascii="Calibri" w:hAnsi="Calibri"/>
      <w:sz w:val="20"/>
      <w:szCs w:val="20"/>
    </w:rPr>
  </w:style>
  <w:style w:type="paragraph" w:styleId="aff9">
    <w:name w:val="Document Map"/>
    <w:basedOn w:val="aff4"/>
    <w:semiHidden/>
    <w:qFormat/>
    <w:pPr>
      <w:shd w:val="clear" w:color="auto" w:fill="000080"/>
    </w:pPr>
  </w:style>
  <w:style w:type="paragraph" w:styleId="affa">
    <w:name w:val="annotation text"/>
    <w:basedOn w:val="aff4"/>
    <w:link w:val="affb"/>
    <w:unhideWhenUsed/>
    <w:qFormat/>
    <w:pPr>
      <w:jc w:val="left"/>
    </w:pPr>
  </w:style>
  <w:style w:type="paragraph" w:styleId="6">
    <w:name w:val="index 6"/>
    <w:basedOn w:val="aff4"/>
    <w:next w:val="aff4"/>
    <w:qFormat/>
    <w:pPr>
      <w:ind w:left="1260" w:hanging="210"/>
      <w:jc w:val="left"/>
    </w:pPr>
    <w:rPr>
      <w:rFonts w:ascii="Calibri" w:hAnsi="Calibri"/>
      <w:sz w:val="20"/>
      <w:szCs w:val="20"/>
    </w:rPr>
  </w:style>
  <w:style w:type="paragraph" w:styleId="4">
    <w:name w:val="index 4"/>
    <w:basedOn w:val="aff4"/>
    <w:next w:val="aff4"/>
    <w:qFormat/>
    <w:pPr>
      <w:ind w:left="840" w:hanging="210"/>
      <w:jc w:val="left"/>
    </w:pPr>
    <w:rPr>
      <w:rFonts w:ascii="Calibri" w:hAnsi="Calibri"/>
      <w:sz w:val="20"/>
      <w:szCs w:val="20"/>
    </w:rPr>
  </w:style>
  <w:style w:type="paragraph" w:styleId="50">
    <w:name w:val="toc 5"/>
    <w:basedOn w:val="aff4"/>
    <w:next w:val="aff4"/>
    <w:semiHidden/>
    <w:qFormat/>
    <w:pPr>
      <w:tabs>
        <w:tab w:val="right" w:leader="dot" w:pos="9241"/>
      </w:tabs>
      <w:ind w:firstLineChars="300" w:firstLine="300"/>
      <w:jc w:val="left"/>
    </w:pPr>
    <w:rPr>
      <w:rFonts w:ascii="宋体"/>
      <w:szCs w:val="21"/>
    </w:rPr>
  </w:style>
  <w:style w:type="paragraph" w:styleId="3">
    <w:name w:val="toc 3"/>
    <w:basedOn w:val="aff4"/>
    <w:next w:val="aff4"/>
    <w:semiHidden/>
    <w:qFormat/>
    <w:pPr>
      <w:tabs>
        <w:tab w:val="right" w:leader="dot" w:pos="9241"/>
      </w:tabs>
      <w:ind w:firstLineChars="100" w:firstLine="100"/>
      <w:jc w:val="left"/>
    </w:pPr>
    <w:rPr>
      <w:rFonts w:ascii="宋体"/>
      <w:szCs w:val="21"/>
    </w:rPr>
  </w:style>
  <w:style w:type="paragraph" w:styleId="80">
    <w:name w:val="toc 8"/>
    <w:basedOn w:val="aff4"/>
    <w:next w:val="aff4"/>
    <w:semiHidden/>
    <w:qFormat/>
    <w:pPr>
      <w:tabs>
        <w:tab w:val="right" w:leader="dot" w:pos="9241"/>
      </w:tabs>
      <w:ind w:firstLineChars="600" w:firstLine="607"/>
      <w:jc w:val="left"/>
    </w:pPr>
    <w:rPr>
      <w:rFonts w:ascii="宋体"/>
      <w:szCs w:val="21"/>
    </w:rPr>
  </w:style>
  <w:style w:type="paragraph" w:styleId="30">
    <w:name w:val="index 3"/>
    <w:basedOn w:val="aff4"/>
    <w:next w:val="aff4"/>
    <w:qFormat/>
    <w:pPr>
      <w:ind w:left="630" w:hanging="210"/>
      <w:jc w:val="left"/>
    </w:pPr>
    <w:rPr>
      <w:rFonts w:ascii="Calibri" w:hAnsi="Calibri"/>
      <w:sz w:val="20"/>
      <w:szCs w:val="20"/>
    </w:rPr>
  </w:style>
  <w:style w:type="paragraph" w:styleId="affc">
    <w:name w:val="endnote text"/>
    <w:basedOn w:val="aff4"/>
    <w:semiHidden/>
    <w:qFormat/>
    <w:pPr>
      <w:snapToGrid w:val="0"/>
      <w:jc w:val="left"/>
    </w:pPr>
  </w:style>
  <w:style w:type="paragraph" w:styleId="affd">
    <w:name w:val="Balloon Text"/>
    <w:basedOn w:val="aff4"/>
    <w:link w:val="affe"/>
    <w:qFormat/>
    <w:rPr>
      <w:sz w:val="18"/>
      <w:szCs w:val="18"/>
    </w:rPr>
  </w:style>
  <w:style w:type="paragraph" w:styleId="afff">
    <w:name w:val="footer"/>
    <w:basedOn w:val="aff4"/>
    <w:qFormat/>
    <w:pPr>
      <w:snapToGrid w:val="0"/>
      <w:ind w:rightChars="100" w:right="210"/>
      <w:jc w:val="right"/>
    </w:pPr>
    <w:rPr>
      <w:sz w:val="18"/>
      <w:szCs w:val="18"/>
    </w:rPr>
  </w:style>
  <w:style w:type="paragraph" w:styleId="afff0">
    <w:name w:val="header"/>
    <w:basedOn w:val="aff4"/>
    <w:qFormat/>
    <w:pPr>
      <w:snapToGrid w:val="0"/>
      <w:jc w:val="left"/>
    </w:pPr>
    <w:rPr>
      <w:sz w:val="18"/>
      <w:szCs w:val="18"/>
    </w:rPr>
  </w:style>
  <w:style w:type="paragraph" w:styleId="10">
    <w:name w:val="toc 1"/>
    <w:basedOn w:val="aff4"/>
    <w:next w:val="aff4"/>
    <w:semiHidden/>
    <w:qFormat/>
    <w:pPr>
      <w:tabs>
        <w:tab w:val="right" w:leader="dot" w:pos="9242"/>
      </w:tabs>
      <w:spacing w:beforeLines="25" w:afterLines="25"/>
      <w:jc w:val="left"/>
    </w:pPr>
    <w:rPr>
      <w:rFonts w:ascii="宋体"/>
      <w:szCs w:val="21"/>
    </w:rPr>
  </w:style>
  <w:style w:type="paragraph" w:styleId="40">
    <w:name w:val="toc 4"/>
    <w:basedOn w:val="aff4"/>
    <w:next w:val="aff4"/>
    <w:semiHidden/>
    <w:qFormat/>
    <w:pPr>
      <w:tabs>
        <w:tab w:val="right" w:leader="dot" w:pos="9241"/>
      </w:tabs>
      <w:ind w:firstLineChars="200" w:firstLine="200"/>
      <w:jc w:val="left"/>
    </w:pPr>
    <w:rPr>
      <w:rFonts w:ascii="宋体"/>
      <w:szCs w:val="21"/>
    </w:rPr>
  </w:style>
  <w:style w:type="paragraph" w:styleId="afff1">
    <w:name w:val="index heading"/>
    <w:basedOn w:val="aff4"/>
    <w:next w:val="11"/>
    <w:qFormat/>
    <w:pPr>
      <w:spacing w:before="120" w:after="120"/>
      <w:jc w:val="center"/>
    </w:pPr>
    <w:rPr>
      <w:rFonts w:ascii="Calibri" w:hAnsi="Calibri"/>
      <w:b/>
      <w:bCs/>
      <w:iCs/>
      <w:szCs w:val="20"/>
    </w:rPr>
  </w:style>
  <w:style w:type="paragraph" w:styleId="11">
    <w:name w:val="index 1"/>
    <w:basedOn w:val="aff4"/>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e">
    <w:name w:val="footnote text"/>
    <w:basedOn w:val="aff4"/>
    <w:qFormat/>
    <w:pPr>
      <w:numPr>
        <w:numId w:val="1"/>
      </w:numPr>
      <w:snapToGrid w:val="0"/>
      <w:jc w:val="left"/>
    </w:pPr>
    <w:rPr>
      <w:rFonts w:ascii="宋体"/>
      <w:sz w:val="18"/>
      <w:szCs w:val="18"/>
    </w:rPr>
  </w:style>
  <w:style w:type="paragraph" w:styleId="60">
    <w:name w:val="toc 6"/>
    <w:basedOn w:val="aff4"/>
    <w:next w:val="aff4"/>
    <w:semiHidden/>
    <w:qFormat/>
    <w:pPr>
      <w:tabs>
        <w:tab w:val="right" w:leader="dot" w:pos="9241"/>
      </w:tabs>
      <w:ind w:firstLineChars="400" w:firstLine="400"/>
      <w:jc w:val="left"/>
    </w:pPr>
    <w:rPr>
      <w:rFonts w:ascii="宋体"/>
      <w:szCs w:val="21"/>
    </w:rPr>
  </w:style>
  <w:style w:type="paragraph" w:styleId="70">
    <w:name w:val="index 7"/>
    <w:basedOn w:val="aff4"/>
    <w:next w:val="aff4"/>
    <w:qFormat/>
    <w:pPr>
      <w:ind w:left="1470" w:hanging="210"/>
      <w:jc w:val="left"/>
    </w:pPr>
    <w:rPr>
      <w:rFonts w:ascii="Calibri" w:hAnsi="Calibri"/>
      <w:sz w:val="20"/>
      <w:szCs w:val="20"/>
    </w:rPr>
  </w:style>
  <w:style w:type="paragraph" w:styleId="9">
    <w:name w:val="index 9"/>
    <w:basedOn w:val="aff4"/>
    <w:next w:val="aff4"/>
    <w:qFormat/>
    <w:pPr>
      <w:ind w:left="1890" w:hanging="210"/>
      <w:jc w:val="left"/>
    </w:pPr>
    <w:rPr>
      <w:rFonts w:ascii="Calibri" w:hAnsi="Calibri"/>
      <w:sz w:val="20"/>
      <w:szCs w:val="20"/>
    </w:rPr>
  </w:style>
  <w:style w:type="paragraph" w:styleId="2">
    <w:name w:val="toc 2"/>
    <w:basedOn w:val="aff4"/>
    <w:next w:val="aff4"/>
    <w:semiHidden/>
    <w:qFormat/>
    <w:pPr>
      <w:tabs>
        <w:tab w:val="right" w:leader="dot" w:pos="9242"/>
      </w:tabs>
    </w:pPr>
    <w:rPr>
      <w:rFonts w:ascii="宋体"/>
      <w:szCs w:val="21"/>
    </w:rPr>
  </w:style>
  <w:style w:type="paragraph" w:styleId="90">
    <w:name w:val="toc 9"/>
    <w:basedOn w:val="aff4"/>
    <w:next w:val="aff4"/>
    <w:semiHidden/>
    <w:qFormat/>
    <w:pPr>
      <w:ind w:left="1470"/>
      <w:jc w:val="left"/>
    </w:pPr>
    <w:rPr>
      <w:sz w:val="20"/>
      <w:szCs w:val="20"/>
    </w:rPr>
  </w:style>
  <w:style w:type="paragraph" w:styleId="20">
    <w:name w:val="index 2"/>
    <w:basedOn w:val="aff4"/>
    <w:next w:val="aff4"/>
    <w:qFormat/>
    <w:pPr>
      <w:ind w:left="420" w:hanging="210"/>
      <w:jc w:val="left"/>
    </w:pPr>
    <w:rPr>
      <w:rFonts w:ascii="Calibri" w:hAnsi="Calibri"/>
      <w:sz w:val="20"/>
      <w:szCs w:val="20"/>
    </w:rPr>
  </w:style>
  <w:style w:type="paragraph" w:styleId="afff3">
    <w:name w:val="annotation subject"/>
    <w:basedOn w:val="affa"/>
    <w:next w:val="affa"/>
    <w:link w:val="afff4"/>
    <w:semiHidden/>
    <w:unhideWhenUsed/>
    <w:qFormat/>
    <w:rPr>
      <w:b/>
      <w:bCs/>
    </w:rPr>
  </w:style>
  <w:style w:type="table" w:styleId="afff5">
    <w:name w:val="Table Grid"/>
    <w:basedOn w:val="aff6"/>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semiHidden/>
    <w:qFormat/>
    <w:rPr>
      <w:vertAlign w:val="superscript"/>
    </w:rPr>
  </w:style>
  <w:style w:type="character" w:styleId="afff7">
    <w:name w:val="page number"/>
    <w:qFormat/>
    <w:rPr>
      <w:rFonts w:ascii="Times New Roman" w:eastAsia="宋体" w:hAnsi="Times New Roman"/>
      <w:sz w:val="18"/>
    </w:rPr>
  </w:style>
  <w:style w:type="character" w:styleId="afff8">
    <w:name w:val="FollowedHyperlink"/>
    <w:qFormat/>
    <w:rPr>
      <w:color w:val="800080"/>
      <w:u w:val="single"/>
    </w:rPr>
  </w:style>
  <w:style w:type="character" w:styleId="afff9">
    <w:name w:val="Hyperlink"/>
    <w:qFormat/>
    <w:rPr>
      <w:color w:val="0000FF"/>
      <w:spacing w:val="0"/>
      <w:w w:val="100"/>
      <w:szCs w:val="21"/>
      <w:u w:val="single"/>
    </w:rPr>
  </w:style>
  <w:style w:type="character" w:styleId="afffa">
    <w:name w:val="annotation reference"/>
    <w:basedOn w:val="aff5"/>
    <w:semiHidden/>
    <w:unhideWhenUsed/>
    <w:qFormat/>
    <w:rPr>
      <w:sz w:val="21"/>
      <w:szCs w:val="21"/>
    </w:rPr>
  </w:style>
  <w:style w:type="character" w:styleId="afffb">
    <w:name w:val="footnote reference"/>
    <w:semiHidden/>
    <w:qFormat/>
    <w:rPr>
      <w:vertAlign w:val="superscript"/>
    </w:rPr>
  </w:style>
  <w:style w:type="character" w:customStyle="1" w:styleId="Char">
    <w:name w:val="段 Char"/>
    <w:link w:val="afff2"/>
    <w:qFormat/>
    <w:rPr>
      <w:rFonts w:ascii="宋体"/>
      <w:sz w:val="21"/>
      <w:lang w:val="en-US" w:eastAsia="zh-CN" w:bidi="ar-SA"/>
    </w:rPr>
  </w:style>
  <w:style w:type="paragraph" w:customStyle="1" w:styleId="a2">
    <w:name w:val="一级条标题"/>
    <w:next w:val="afff2"/>
    <w:qFormat/>
    <w:pPr>
      <w:numPr>
        <w:ilvl w:val="1"/>
        <w:numId w:val="2"/>
      </w:numPr>
      <w:spacing w:beforeLines="50" w:afterLines="50"/>
      <w:outlineLvl w:val="2"/>
    </w:pPr>
    <w:rPr>
      <w:rFonts w:ascii="黑体" w:eastAsia="黑体" w:hAnsi="Times New Roman"/>
      <w:sz w:val="21"/>
      <w:szCs w:val="21"/>
    </w:rPr>
  </w:style>
  <w:style w:type="paragraph" w:customStyle="1" w:styleId="afffc">
    <w:name w:val="标准书脚_奇数页"/>
    <w:qFormat/>
    <w:pPr>
      <w:spacing w:before="120"/>
      <w:ind w:right="198"/>
      <w:jc w:val="right"/>
    </w:pPr>
    <w:rPr>
      <w:rFonts w:ascii="宋体" w:hAnsi="Times New Roman"/>
      <w:sz w:val="18"/>
      <w:szCs w:val="18"/>
    </w:rPr>
  </w:style>
  <w:style w:type="paragraph" w:customStyle="1" w:styleId="afffd">
    <w:name w:val="标准书眉_奇数页"/>
    <w:next w:val="aff4"/>
    <w:qFormat/>
    <w:pPr>
      <w:tabs>
        <w:tab w:val="center" w:pos="4154"/>
        <w:tab w:val="right" w:pos="8306"/>
      </w:tabs>
      <w:spacing w:after="220"/>
      <w:jc w:val="right"/>
    </w:pPr>
    <w:rPr>
      <w:rFonts w:ascii="黑体" w:eastAsia="黑体" w:hAnsi="Times New Roman"/>
      <w:sz w:val="21"/>
      <w:szCs w:val="21"/>
    </w:rPr>
  </w:style>
  <w:style w:type="paragraph" w:customStyle="1" w:styleId="a1">
    <w:name w:val="章标题"/>
    <w:next w:val="afff2"/>
    <w:qFormat/>
    <w:pPr>
      <w:numPr>
        <w:numId w:val="2"/>
      </w:numPr>
      <w:spacing w:beforeLines="100" w:afterLines="100"/>
      <w:jc w:val="both"/>
      <w:outlineLvl w:val="1"/>
    </w:pPr>
    <w:rPr>
      <w:rFonts w:ascii="黑体" w:eastAsia="黑体" w:hAnsi="Times New Roman"/>
      <w:sz w:val="21"/>
    </w:rPr>
  </w:style>
  <w:style w:type="paragraph" w:customStyle="1" w:styleId="a3">
    <w:name w:val="二级条标题"/>
    <w:basedOn w:val="a2"/>
    <w:next w:val="afff2"/>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b">
    <w:name w:val="列项——（一级）"/>
    <w:qFormat/>
    <w:pPr>
      <w:widowControl w:val="0"/>
      <w:numPr>
        <w:numId w:val="3"/>
      </w:numPr>
      <w:jc w:val="both"/>
    </w:pPr>
    <w:rPr>
      <w:rFonts w:ascii="宋体" w:hAnsi="Times New Roman"/>
      <w:sz w:val="21"/>
    </w:rPr>
  </w:style>
  <w:style w:type="paragraph" w:customStyle="1" w:styleId="ac">
    <w:name w:val="列项●（二级）"/>
    <w:qFormat/>
    <w:pPr>
      <w:numPr>
        <w:ilvl w:val="1"/>
        <w:numId w:val="3"/>
      </w:numPr>
      <w:tabs>
        <w:tab w:val="left" w:pos="840"/>
      </w:tabs>
      <w:jc w:val="both"/>
    </w:pPr>
    <w:rPr>
      <w:rFonts w:ascii="宋体" w:hAnsi="Times New Roman"/>
      <w:sz w:val="21"/>
    </w:rPr>
  </w:style>
  <w:style w:type="paragraph" w:customStyle="1" w:styleId="afffe">
    <w:name w:val="目次、标准名称标题"/>
    <w:basedOn w:val="aff4"/>
    <w:next w:val="afff2"/>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2"/>
    <w:qFormat/>
    <w:pPr>
      <w:numPr>
        <w:ilvl w:val="3"/>
      </w:numPr>
      <w:outlineLvl w:val="4"/>
    </w:pPr>
  </w:style>
  <w:style w:type="paragraph" w:customStyle="1" w:styleId="af6">
    <w:name w:val="示例"/>
    <w:next w:val="affff"/>
    <w:qFormat/>
    <w:pPr>
      <w:widowControl w:val="0"/>
      <w:numPr>
        <w:numId w:val="4"/>
      </w:numPr>
      <w:jc w:val="both"/>
    </w:pPr>
    <w:rPr>
      <w:rFonts w:ascii="宋体" w:hAnsi="Times New Roman"/>
      <w:sz w:val="18"/>
      <w:szCs w:val="18"/>
    </w:rPr>
  </w:style>
  <w:style w:type="paragraph" w:customStyle="1" w:styleId="affff">
    <w:name w:val="示例内容"/>
    <w:qFormat/>
    <w:pPr>
      <w:ind w:firstLineChars="200" w:firstLine="200"/>
    </w:pPr>
    <w:rPr>
      <w:rFonts w:ascii="宋体" w:hAnsi="Times New Roman"/>
      <w:sz w:val="18"/>
      <w:szCs w:val="18"/>
    </w:rPr>
  </w:style>
  <w:style w:type="paragraph" w:customStyle="1" w:styleId="af0">
    <w:name w:val="数字编号列项（二级）"/>
    <w:qFormat/>
    <w:pPr>
      <w:numPr>
        <w:ilvl w:val="1"/>
        <w:numId w:val="5"/>
      </w:numPr>
      <w:jc w:val="both"/>
    </w:pPr>
    <w:rPr>
      <w:rFonts w:ascii="宋体" w:hAnsi="Times New Roman"/>
      <w:sz w:val="21"/>
    </w:rPr>
  </w:style>
  <w:style w:type="paragraph" w:customStyle="1" w:styleId="a5">
    <w:name w:val="四级条标题"/>
    <w:basedOn w:val="a4"/>
    <w:next w:val="afff2"/>
    <w:qFormat/>
    <w:pPr>
      <w:numPr>
        <w:ilvl w:val="4"/>
      </w:numPr>
      <w:outlineLvl w:val="5"/>
    </w:pPr>
  </w:style>
  <w:style w:type="paragraph" w:customStyle="1" w:styleId="a6">
    <w:name w:val="五级条标题"/>
    <w:basedOn w:val="a5"/>
    <w:next w:val="afff2"/>
    <w:qFormat/>
    <w:pPr>
      <w:numPr>
        <w:ilvl w:val="5"/>
      </w:numPr>
      <w:outlineLvl w:val="6"/>
    </w:pPr>
  </w:style>
  <w:style w:type="paragraph" w:customStyle="1" w:styleId="a0">
    <w:name w:val="注："/>
    <w:next w:val="afff2"/>
    <w:qFormat/>
    <w:pPr>
      <w:widowControl w:val="0"/>
      <w:numPr>
        <w:numId w:val="6"/>
      </w:numPr>
      <w:autoSpaceDE w:val="0"/>
      <w:autoSpaceDN w:val="0"/>
      <w:ind w:left="726" w:hanging="363"/>
      <w:jc w:val="both"/>
    </w:pPr>
    <w:rPr>
      <w:rFonts w:ascii="宋体" w:hAnsi="Times New Roman"/>
      <w:sz w:val="18"/>
      <w:szCs w:val="18"/>
    </w:rPr>
  </w:style>
  <w:style w:type="paragraph" w:customStyle="1" w:styleId="af3">
    <w:name w:val="注×："/>
    <w:qFormat/>
    <w:pPr>
      <w:widowControl w:val="0"/>
      <w:numPr>
        <w:numId w:val="7"/>
      </w:numPr>
      <w:autoSpaceDE w:val="0"/>
      <w:autoSpaceDN w:val="0"/>
      <w:ind w:left="811" w:hanging="448"/>
      <w:jc w:val="both"/>
    </w:pPr>
    <w:rPr>
      <w:rFonts w:ascii="宋体" w:hAnsi="Times New Roman"/>
      <w:sz w:val="18"/>
      <w:szCs w:val="18"/>
    </w:rPr>
  </w:style>
  <w:style w:type="paragraph" w:customStyle="1" w:styleId="af">
    <w:name w:val="字母编号列项（一级）"/>
    <w:qFormat/>
    <w:pPr>
      <w:numPr>
        <w:numId w:val="5"/>
      </w:numPr>
      <w:jc w:val="both"/>
    </w:pPr>
    <w:rPr>
      <w:rFonts w:ascii="宋体" w:hAnsi="Times New Roman"/>
      <w:sz w:val="21"/>
    </w:rPr>
  </w:style>
  <w:style w:type="paragraph" w:customStyle="1" w:styleId="ad">
    <w:name w:val="列项◆（三级）"/>
    <w:basedOn w:val="aff4"/>
    <w:qFormat/>
    <w:pPr>
      <w:numPr>
        <w:ilvl w:val="2"/>
        <w:numId w:val="3"/>
      </w:numPr>
    </w:pPr>
    <w:rPr>
      <w:rFonts w:ascii="宋体"/>
      <w:szCs w:val="21"/>
    </w:rPr>
  </w:style>
  <w:style w:type="paragraph" w:customStyle="1" w:styleId="af1">
    <w:name w:val="编号列项（三级）"/>
    <w:qFormat/>
    <w:pPr>
      <w:numPr>
        <w:ilvl w:val="2"/>
        <w:numId w:val="5"/>
      </w:numPr>
    </w:pPr>
    <w:rPr>
      <w:rFonts w:ascii="宋体" w:hAnsi="Times New Roman"/>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f0">
    <w:name w:val="二级无"/>
    <w:basedOn w:val="a3"/>
    <w:qFormat/>
    <w:pPr>
      <w:spacing w:beforeLines="0" w:afterLines="0"/>
    </w:pPr>
    <w:rPr>
      <w:rFonts w:ascii="宋体" w:eastAsia="宋体"/>
    </w:rPr>
  </w:style>
  <w:style w:type="paragraph" w:customStyle="1" w:styleId="a8">
    <w:name w:val="注：（正文）"/>
    <w:basedOn w:val="a0"/>
    <w:next w:val="afff2"/>
    <w:qFormat/>
    <w:pPr>
      <w:numPr>
        <w:numId w:val="9"/>
      </w:numPr>
      <w:ind w:left="726" w:hanging="363"/>
    </w:pPr>
  </w:style>
  <w:style w:type="paragraph" w:customStyle="1" w:styleId="a">
    <w:name w:val="注×：（正文）"/>
    <w:qFormat/>
    <w:pPr>
      <w:numPr>
        <w:numId w:val="10"/>
      </w:numPr>
      <w:ind w:left="811" w:hanging="448"/>
      <w:jc w:val="both"/>
    </w:pPr>
    <w:rPr>
      <w:rFonts w:ascii="宋体" w:hAnsi="Times New Roman"/>
      <w:sz w:val="18"/>
      <w:szCs w:val="18"/>
    </w:rPr>
  </w:style>
  <w:style w:type="paragraph" w:customStyle="1" w:styleId="affff1">
    <w:name w:val="标准标志"/>
    <w:next w:val="aff4"/>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f2">
    <w:name w:val="标准称谓"/>
    <w:next w:val="aff4"/>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3">
    <w:name w:val="标准书脚_偶数页"/>
    <w:qFormat/>
    <w:pPr>
      <w:spacing w:before="120"/>
      <w:ind w:left="221"/>
    </w:pPr>
    <w:rPr>
      <w:rFonts w:ascii="宋体" w:hAnsi="Times New Roman"/>
      <w:sz w:val="18"/>
      <w:szCs w:val="18"/>
    </w:rPr>
  </w:style>
  <w:style w:type="paragraph" w:customStyle="1" w:styleId="affff4">
    <w:name w:val="标准书眉_偶数页"/>
    <w:basedOn w:val="afffd"/>
    <w:next w:val="aff4"/>
    <w:qFormat/>
    <w:pPr>
      <w:jc w:val="left"/>
    </w:pPr>
  </w:style>
  <w:style w:type="paragraph" w:customStyle="1" w:styleId="affff5">
    <w:name w:val="标准书眉一"/>
    <w:qFormat/>
    <w:pPr>
      <w:jc w:val="both"/>
    </w:pPr>
    <w:rPr>
      <w:rFonts w:ascii="Times New Roman" w:hAnsi="Times New Roman"/>
    </w:rPr>
  </w:style>
  <w:style w:type="paragraph" w:customStyle="1" w:styleId="affff6">
    <w:name w:val="参考文献"/>
    <w:basedOn w:val="aff4"/>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f4"/>
    <w:next w:val="afff2"/>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Pr>
      <w:rFonts w:ascii="黑体" w:eastAsia="黑体"/>
      <w:spacing w:val="85"/>
      <w:w w:val="100"/>
      <w:position w:val="3"/>
      <w:sz w:val="28"/>
      <w:szCs w:val="28"/>
    </w:rPr>
  </w:style>
  <w:style w:type="paragraph" w:customStyle="1" w:styleId="affff9">
    <w:name w:val="发布部门"/>
    <w:next w:val="afff2"/>
    <w:qFormat/>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a">
    <w:name w:val="发布日期"/>
    <w:qFormat/>
    <w:pPr>
      <w:framePr w:w="3997" w:h="471" w:hRule="exact" w:vSpace="181" w:wrap="around" w:hAnchor="page" w:x="7089" w:y="14097" w:anchorLock="1"/>
    </w:pPr>
    <w:rPr>
      <w:rFonts w:ascii="Times New Roman" w:eastAsia="黑体" w:hAnsi="Times New Roman"/>
      <w:sz w:val="28"/>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d">
    <w:name w:val="封面标准英文名称"/>
    <w:basedOn w:val="affffc"/>
    <w:qFormat/>
    <w:pPr>
      <w:framePr w:wrap="around"/>
      <w:spacing w:before="370" w:line="400" w:lineRule="exact"/>
    </w:pPr>
    <w:rPr>
      <w:rFonts w:ascii="Times New Roman"/>
      <w:sz w:val="28"/>
      <w:szCs w:val="28"/>
    </w:rPr>
  </w:style>
  <w:style w:type="paragraph" w:customStyle="1" w:styleId="affffe">
    <w:name w:val="封面一致性程度标识"/>
    <w:basedOn w:val="affffd"/>
    <w:qFormat/>
    <w:pPr>
      <w:framePr w:wrap="around"/>
      <w:spacing w:before="440"/>
    </w:pPr>
    <w:rPr>
      <w:rFonts w:ascii="宋体" w:eastAsia="宋体"/>
    </w:rPr>
  </w:style>
  <w:style w:type="paragraph" w:customStyle="1" w:styleId="afffff">
    <w:name w:val="封面标准文稿类别"/>
    <w:basedOn w:val="affffe"/>
    <w:qFormat/>
    <w:pPr>
      <w:framePr w:wrap="around"/>
      <w:spacing w:after="160" w:line="240" w:lineRule="auto"/>
    </w:pPr>
    <w:rPr>
      <w:sz w:val="24"/>
    </w:rPr>
  </w:style>
  <w:style w:type="paragraph" w:customStyle="1" w:styleId="afffff0">
    <w:name w:val="封面标准文稿编辑信息"/>
    <w:basedOn w:val="afffff"/>
    <w:qFormat/>
    <w:pPr>
      <w:framePr w:wrap="around"/>
      <w:spacing w:before="180" w:line="180" w:lineRule="exact"/>
    </w:pPr>
    <w:rPr>
      <w:sz w:val="21"/>
    </w:rPr>
  </w:style>
  <w:style w:type="paragraph" w:customStyle="1" w:styleId="afffff1">
    <w:name w:val="封面正文"/>
    <w:qFormat/>
    <w:pPr>
      <w:jc w:val="both"/>
    </w:pPr>
    <w:rPr>
      <w:rFonts w:ascii="Times New Roman" w:hAnsi="Times New Roman"/>
    </w:rPr>
  </w:style>
  <w:style w:type="paragraph" w:customStyle="1" w:styleId="af8">
    <w:name w:val="附录标识"/>
    <w:basedOn w:val="aff4"/>
    <w:next w:val="afff2"/>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f2"/>
    <w:next w:val="afff2"/>
    <w:qFormat/>
    <w:pPr>
      <w:ind w:firstLineChars="0" w:firstLine="0"/>
      <w:jc w:val="center"/>
    </w:pPr>
    <w:rPr>
      <w:rFonts w:ascii="黑体" w:eastAsia="黑体"/>
    </w:rPr>
  </w:style>
  <w:style w:type="paragraph" w:customStyle="1" w:styleId="af4">
    <w:name w:val="附录表标号"/>
    <w:basedOn w:val="aff4"/>
    <w:next w:val="afff2"/>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4"/>
    <w:next w:val="afff2"/>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4"/>
    <w:next w:val="afff2"/>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b"/>
    <w:qFormat/>
    <w:pPr>
      <w:tabs>
        <w:tab w:val="clear" w:pos="360"/>
      </w:tabs>
      <w:spacing w:beforeLines="0" w:afterLines="0"/>
    </w:pPr>
    <w:rPr>
      <w:rFonts w:ascii="宋体" w:eastAsia="宋体"/>
      <w:szCs w:val="21"/>
    </w:rPr>
  </w:style>
  <w:style w:type="paragraph" w:customStyle="1" w:styleId="afffff4">
    <w:name w:val="附录公式"/>
    <w:basedOn w:val="afff2"/>
    <w:next w:val="afff2"/>
    <w:link w:val="Char1"/>
    <w:qFormat/>
  </w:style>
  <w:style w:type="character" w:customStyle="1" w:styleId="Char1">
    <w:name w:val="附录公式 Char"/>
    <w:basedOn w:val="Char"/>
    <w:link w:val="afffff4"/>
    <w:qFormat/>
    <w:rPr>
      <w:rFonts w:ascii="宋体"/>
      <w:sz w:val="21"/>
      <w:lang w:val="en-US" w:eastAsia="zh-CN" w:bidi="ar-SA"/>
    </w:rPr>
  </w:style>
  <w:style w:type="paragraph" w:customStyle="1" w:styleId="afffff5">
    <w:name w:val="附录公式编号制表符"/>
    <w:basedOn w:val="aff4"/>
    <w:next w:val="afff2"/>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2"/>
    <w:qFormat/>
    <w:pPr>
      <w:numPr>
        <w:ilvl w:val="4"/>
      </w:numPr>
      <w:outlineLvl w:val="4"/>
    </w:pPr>
  </w:style>
  <w:style w:type="paragraph" w:customStyle="1" w:styleId="afffff6">
    <w:name w:val="附录三级无"/>
    <w:basedOn w:val="afc"/>
    <w:qFormat/>
    <w:pPr>
      <w:tabs>
        <w:tab w:val="clear" w:pos="360"/>
      </w:tabs>
      <w:spacing w:beforeLines="0" w:afterLines="0"/>
    </w:pPr>
    <w:rPr>
      <w:rFonts w:ascii="宋体" w:eastAsia="宋体"/>
      <w:szCs w:val="21"/>
    </w:rPr>
  </w:style>
  <w:style w:type="paragraph" w:customStyle="1" w:styleId="aff3">
    <w:name w:val="附录数字编号列项（二级）"/>
    <w:qFormat/>
    <w:pPr>
      <w:numPr>
        <w:ilvl w:val="1"/>
        <w:numId w:val="13"/>
      </w:numPr>
    </w:pPr>
    <w:rPr>
      <w:rFonts w:ascii="宋体" w:hAnsi="Times New Roman"/>
      <w:sz w:val="21"/>
    </w:rPr>
  </w:style>
  <w:style w:type="paragraph" w:customStyle="1" w:styleId="afd">
    <w:name w:val="附录四级条标题"/>
    <w:basedOn w:val="afc"/>
    <w:next w:val="afff2"/>
    <w:qFormat/>
    <w:pPr>
      <w:numPr>
        <w:ilvl w:val="5"/>
      </w:numPr>
      <w:outlineLvl w:val="5"/>
    </w:pPr>
  </w:style>
  <w:style w:type="paragraph" w:customStyle="1" w:styleId="afffff7">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4"/>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4"/>
    <w:next w:val="afff2"/>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2"/>
    <w:qFormat/>
    <w:pPr>
      <w:numPr>
        <w:ilvl w:val="6"/>
      </w:numPr>
      <w:outlineLvl w:val="6"/>
    </w:pPr>
  </w:style>
  <w:style w:type="paragraph" w:customStyle="1" w:styleId="afffff8">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2"/>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a">
    <w:name w:val="附录一级条标题"/>
    <w:basedOn w:val="af9"/>
    <w:next w:val="afff2"/>
    <w:qFormat/>
    <w:pPr>
      <w:numPr>
        <w:ilvl w:val="2"/>
      </w:numPr>
      <w:autoSpaceDN w:val="0"/>
      <w:spacing w:beforeLines="50" w:afterLines="50"/>
      <w:outlineLvl w:val="2"/>
    </w:pPr>
  </w:style>
  <w:style w:type="paragraph" w:customStyle="1" w:styleId="afffff9">
    <w:name w:val="附录一级无"/>
    <w:basedOn w:val="afa"/>
    <w:qFormat/>
    <w:pPr>
      <w:tabs>
        <w:tab w:val="clear" w:pos="360"/>
      </w:tabs>
      <w:spacing w:beforeLines="0" w:afterLines="0"/>
    </w:pPr>
    <w:rPr>
      <w:rFonts w:ascii="宋体" w:eastAsia="宋体"/>
      <w:szCs w:val="21"/>
    </w:rPr>
  </w:style>
  <w:style w:type="paragraph" w:customStyle="1" w:styleId="aff2">
    <w:name w:val="附录字母编号列项（一级）"/>
    <w:qFormat/>
    <w:pPr>
      <w:numPr>
        <w:numId w:val="13"/>
      </w:numPr>
    </w:pPr>
    <w:rPr>
      <w:rFonts w:ascii="宋体" w:hAnsi="Times New Roman"/>
      <w:sz w:val="21"/>
    </w:rPr>
  </w:style>
  <w:style w:type="paragraph" w:customStyle="1" w:styleId="afffffa">
    <w:name w:val="列项说明"/>
    <w:basedOn w:val="af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pPr>
      <w:ind w:leftChars="400" w:left="600" w:hangingChars="200" w:hanging="200"/>
    </w:pPr>
    <w:rPr>
      <w:rFonts w:ascii="宋体" w:hAnsi="Times New Roman"/>
      <w:sz w:val="21"/>
    </w:rPr>
  </w:style>
  <w:style w:type="paragraph" w:customStyle="1" w:styleId="afffffc">
    <w:name w:val="目次、索引正文"/>
    <w:qFormat/>
    <w:pPr>
      <w:spacing w:line="320" w:lineRule="exact"/>
      <w:jc w:val="both"/>
    </w:pPr>
    <w:rPr>
      <w:rFonts w:ascii="宋体" w:hAnsi="Times New Roman"/>
      <w:sz w:val="21"/>
    </w:rPr>
  </w:style>
  <w:style w:type="paragraph" w:customStyle="1" w:styleId="afffffd">
    <w:name w:val="其他标准标志"/>
    <w:basedOn w:val="affff1"/>
    <w:qFormat/>
    <w:pPr>
      <w:framePr w:w="6101" w:wrap="around" w:vAnchor="page" w:hAnchor="page" w:x="4673" w:y="942"/>
    </w:pPr>
    <w:rPr>
      <w:w w:val="130"/>
    </w:rPr>
  </w:style>
  <w:style w:type="paragraph" w:customStyle="1" w:styleId="afffffe">
    <w:name w:val="其他标准称谓"/>
    <w:next w:val="aff4"/>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qFormat/>
    <w:pPr>
      <w:framePr w:wrap="around" w:y="15310"/>
      <w:spacing w:line="0" w:lineRule="atLeast"/>
    </w:pPr>
    <w:rPr>
      <w:rFonts w:ascii="黑体" w:eastAsia="黑体"/>
      <w:b w:val="0"/>
    </w:rPr>
  </w:style>
  <w:style w:type="paragraph" w:customStyle="1" w:styleId="affffff0">
    <w:name w:val="前言、引言标题"/>
    <w:next w:val="afff2"/>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fffff1">
    <w:name w:val="三级无"/>
    <w:basedOn w:val="a4"/>
    <w:qFormat/>
    <w:pPr>
      <w:spacing w:beforeLines="0" w:afterLines="0"/>
    </w:pPr>
    <w:rPr>
      <w:rFonts w:ascii="宋体" w:eastAsia="宋体"/>
    </w:rPr>
  </w:style>
  <w:style w:type="paragraph" w:customStyle="1" w:styleId="affffff2">
    <w:name w:val="实施日期"/>
    <w:qFormat/>
    <w:pPr>
      <w:framePr w:w="3997" w:h="471" w:hRule="exact" w:vSpace="181" w:wrap="around" w:vAnchor="page" w:hAnchor="page" w:x="7089" w:y="14097"/>
      <w:jc w:val="right"/>
    </w:pPr>
    <w:rPr>
      <w:rFonts w:ascii="Times New Roman" w:eastAsia="黑体" w:hAnsi="Times New Roman"/>
      <w:sz w:val="28"/>
    </w:rPr>
  </w:style>
  <w:style w:type="paragraph" w:customStyle="1" w:styleId="affffff3">
    <w:name w:val="示例后文字"/>
    <w:basedOn w:val="afff2"/>
    <w:next w:val="afff2"/>
    <w:qFormat/>
    <w:pPr>
      <w:ind w:firstLine="360"/>
    </w:pPr>
    <w:rPr>
      <w:sz w:val="18"/>
    </w:rPr>
  </w:style>
  <w:style w:type="paragraph" w:customStyle="1" w:styleId="affffff4">
    <w:name w:val="首示例"/>
    <w:next w:val="afff2"/>
    <w:link w:val="Char2"/>
    <w:qFormat/>
    <w:pPr>
      <w:tabs>
        <w:tab w:val="left" w:pos="360"/>
      </w:tabs>
    </w:pPr>
    <w:rPr>
      <w:rFonts w:ascii="宋体" w:hAnsi="宋体"/>
      <w:kern w:val="2"/>
      <w:sz w:val="18"/>
      <w:szCs w:val="18"/>
    </w:rPr>
  </w:style>
  <w:style w:type="character" w:customStyle="1" w:styleId="Char2">
    <w:name w:val="首示例 Char"/>
    <w:link w:val="affffff4"/>
    <w:qFormat/>
    <w:rPr>
      <w:rFonts w:ascii="宋体" w:hAnsi="宋体"/>
      <w:kern w:val="2"/>
      <w:sz w:val="18"/>
      <w:szCs w:val="18"/>
    </w:rPr>
  </w:style>
  <w:style w:type="paragraph" w:customStyle="1" w:styleId="affffff5">
    <w:name w:val="四级无"/>
    <w:basedOn w:val="a5"/>
    <w:qFormat/>
    <w:pPr>
      <w:spacing w:beforeLines="0" w:afterLines="0"/>
    </w:pPr>
    <w:rPr>
      <w:rFonts w:ascii="宋体" w:eastAsia="宋体"/>
    </w:rPr>
  </w:style>
  <w:style w:type="paragraph" w:customStyle="1" w:styleId="affffff6">
    <w:name w:val="条文脚注"/>
    <w:basedOn w:val="ae"/>
    <w:qFormat/>
    <w:pPr>
      <w:numPr>
        <w:numId w:val="0"/>
      </w:numPr>
      <w:jc w:val="both"/>
    </w:pPr>
  </w:style>
  <w:style w:type="paragraph" w:customStyle="1" w:styleId="affffff7">
    <w:name w:val="图标脚注说明"/>
    <w:basedOn w:val="afff2"/>
    <w:qFormat/>
    <w:pPr>
      <w:ind w:left="840" w:firstLineChars="0" w:hanging="420"/>
    </w:pPr>
    <w:rPr>
      <w:sz w:val="18"/>
      <w:szCs w:val="18"/>
    </w:rPr>
  </w:style>
  <w:style w:type="paragraph" w:customStyle="1" w:styleId="a7">
    <w:name w:val="图表脚注说明"/>
    <w:basedOn w:val="aff4"/>
    <w:qFormat/>
    <w:pPr>
      <w:numPr>
        <w:numId w:val="15"/>
      </w:numPr>
    </w:pPr>
    <w:rPr>
      <w:rFonts w:ascii="宋体"/>
      <w:sz w:val="18"/>
      <w:szCs w:val="18"/>
    </w:rPr>
  </w:style>
  <w:style w:type="paragraph" w:customStyle="1" w:styleId="affffff8">
    <w:name w:val="图的脚注"/>
    <w:next w:val="afff2"/>
    <w:qFormat/>
    <w:pPr>
      <w:widowControl w:val="0"/>
      <w:ind w:leftChars="200" w:left="840" w:hangingChars="200" w:hanging="420"/>
      <w:jc w:val="both"/>
    </w:pPr>
    <w:rPr>
      <w:rFonts w:ascii="宋体" w:hAnsi="Times New Roman"/>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a">
    <w:name w:val="五级无"/>
    <w:basedOn w:val="a6"/>
    <w:qFormat/>
    <w:pPr>
      <w:spacing w:beforeLines="0" w:afterLines="0"/>
    </w:pPr>
    <w:rPr>
      <w:rFonts w:ascii="宋体" w:eastAsia="宋体"/>
    </w:rPr>
  </w:style>
  <w:style w:type="paragraph" w:customStyle="1" w:styleId="affffffb">
    <w:name w:val="一级无"/>
    <w:basedOn w:val="a2"/>
    <w:qFormat/>
    <w:pPr>
      <w:spacing w:beforeLines="0" w:afterLines="0"/>
    </w:pPr>
    <w:rPr>
      <w:rFonts w:ascii="宋体" w:eastAsia="宋体"/>
    </w:rPr>
  </w:style>
  <w:style w:type="paragraph" w:customStyle="1" w:styleId="af7">
    <w:name w:val="正文表标题"/>
    <w:next w:val="afff2"/>
    <w:qFormat/>
    <w:pPr>
      <w:numPr>
        <w:numId w:val="16"/>
      </w:numPr>
      <w:spacing w:beforeLines="50" w:afterLines="50"/>
      <w:jc w:val="center"/>
    </w:pPr>
    <w:rPr>
      <w:rFonts w:ascii="黑体" w:eastAsia="黑体" w:hAnsi="Times New Roman"/>
      <w:sz w:val="21"/>
    </w:rPr>
  </w:style>
  <w:style w:type="paragraph" w:customStyle="1" w:styleId="affffffc">
    <w:name w:val="正文公式编号制表符"/>
    <w:basedOn w:val="afff2"/>
    <w:next w:val="afff2"/>
    <w:qFormat/>
    <w:pPr>
      <w:ind w:firstLineChars="0" w:firstLine="0"/>
    </w:pPr>
  </w:style>
  <w:style w:type="paragraph" w:customStyle="1" w:styleId="af2">
    <w:name w:val="正文图标题"/>
    <w:next w:val="afff2"/>
    <w:qFormat/>
    <w:pPr>
      <w:numPr>
        <w:numId w:val="17"/>
      </w:numPr>
      <w:spacing w:beforeLines="50" w:afterLines="50"/>
      <w:jc w:val="center"/>
    </w:pPr>
    <w:rPr>
      <w:rFonts w:ascii="黑体" w:eastAsia="黑体" w:hAnsi="Times New Roman"/>
      <w:sz w:val="21"/>
    </w:rPr>
  </w:style>
  <w:style w:type="paragraph" w:customStyle="1" w:styleId="affffffd">
    <w:name w:val="终结线"/>
    <w:basedOn w:val="aff4"/>
    <w:qFormat/>
    <w:pPr>
      <w:framePr w:hSpace="181" w:vSpace="181" w:wrap="around" w:vAnchor="text" w:hAnchor="margin" w:xAlign="center" w:y="285"/>
    </w:pPr>
  </w:style>
  <w:style w:type="paragraph" w:customStyle="1" w:styleId="affffffe">
    <w:name w:val="其他发布日期"/>
    <w:qFormat/>
    <w:pPr>
      <w:framePr w:w="3997" w:h="471" w:hRule="exact" w:vSpace="181" w:wrap="around" w:vAnchor="page" w:hAnchor="page" w:x="1419" w:y="14097" w:anchorLock="1"/>
    </w:pPr>
    <w:rPr>
      <w:rFonts w:ascii="Times New Roman" w:eastAsia="黑体" w:hAnsi="Times New Roman"/>
      <w:sz w:val="28"/>
    </w:rPr>
  </w:style>
  <w:style w:type="paragraph" w:customStyle="1" w:styleId="afffffff">
    <w:name w:val="其他实施日期"/>
    <w:basedOn w:val="affffff2"/>
    <w:qFormat/>
    <w:pPr>
      <w:framePr w:wrap="around"/>
    </w:pPr>
  </w:style>
  <w:style w:type="paragraph" w:customStyle="1" w:styleId="22">
    <w:name w:val="封面标准名称2"/>
    <w:basedOn w:val="affffc"/>
    <w:qFormat/>
    <w:pPr>
      <w:framePr w:wrap="around" w:y="4469"/>
      <w:spacing w:beforeLines="630"/>
    </w:pPr>
  </w:style>
  <w:style w:type="paragraph" w:customStyle="1" w:styleId="23">
    <w:name w:val="封面标准英文名称2"/>
    <w:basedOn w:val="affffd"/>
    <w:qFormat/>
    <w:pPr>
      <w:framePr w:wrap="around" w:y="4469"/>
    </w:pPr>
  </w:style>
  <w:style w:type="paragraph" w:customStyle="1" w:styleId="24">
    <w:name w:val="封面一致性程度标识2"/>
    <w:basedOn w:val="affffe"/>
    <w:qFormat/>
    <w:pPr>
      <w:framePr w:wrap="around" w:y="4469"/>
    </w:pPr>
  </w:style>
  <w:style w:type="paragraph" w:customStyle="1" w:styleId="25">
    <w:name w:val="封面标准文稿类别2"/>
    <w:basedOn w:val="afffff"/>
    <w:qFormat/>
    <w:pPr>
      <w:framePr w:wrap="around" w:y="4469"/>
    </w:pPr>
  </w:style>
  <w:style w:type="paragraph" w:customStyle="1" w:styleId="26">
    <w:name w:val="封面标准文稿编辑信息2"/>
    <w:basedOn w:val="afffff0"/>
    <w:qFormat/>
    <w:pPr>
      <w:framePr w:wrap="around" w:y="4469"/>
    </w:pPr>
  </w:style>
  <w:style w:type="paragraph" w:customStyle="1" w:styleId="afffffff0">
    <w:name w:val="标准名称"/>
    <w:basedOn w:val="afffe"/>
    <w:link w:val="Char3"/>
    <w:qFormat/>
  </w:style>
  <w:style w:type="character" w:styleId="afffffff1">
    <w:name w:val="Placeholder Text"/>
    <w:basedOn w:val="aff5"/>
    <w:uiPriority w:val="99"/>
    <w:semiHidden/>
    <w:qFormat/>
    <w:rPr>
      <w:color w:val="808080"/>
    </w:rPr>
  </w:style>
  <w:style w:type="character" w:customStyle="1" w:styleId="Char0">
    <w:name w:val="目次、标准名称标题 Char"/>
    <w:basedOn w:val="aff5"/>
    <w:link w:val="afffe"/>
    <w:qFormat/>
    <w:rPr>
      <w:rFonts w:ascii="黑体" w:eastAsia="黑体"/>
      <w:sz w:val="32"/>
      <w:shd w:val="clear" w:color="FFFFFF" w:fill="FFFFFF"/>
    </w:rPr>
  </w:style>
  <w:style w:type="character" w:customStyle="1" w:styleId="Char3">
    <w:name w:val="标准名称 Char"/>
    <w:basedOn w:val="Char0"/>
    <w:link w:val="afffffff0"/>
    <w:qFormat/>
    <w:rPr>
      <w:rFonts w:ascii="黑体" w:eastAsia="黑体"/>
      <w:sz w:val="32"/>
      <w:shd w:val="clear" w:color="FFFFFF" w:fill="FFFFFF"/>
    </w:rPr>
  </w:style>
  <w:style w:type="character" w:customStyle="1" w:styleId="affe">
    <w:name w:val="批注框文本 字符"/>
    <w:basedOn w:val="aff5"/>
    <w:link w:val="affd"/>
    <w:qFormat/>
    <w:rPr>
      <w:kern w:val="2"/>
      <w:sz w:val="18"/>
      <w:szCs w:val="18"/>
    </w:rPr>
  </w:style>
  <w:style w:type="character" w:customStyle="1" w:styleId="affb">
    <w:name w:val="批注文字 字符"/>
    <w:basedOn w:val="aff5"/>
    <w:link w:val="affa"/>
    <w:qFormat/>
    <w:rPr>
      <w:kern w:val="2"/>
      <w:sz w:val="21"/>
      <w:szCs w:val="24"/>
    </w:rPr>
  </w:style>
  <w:style w:type="character" w:customStyle="1" w:styleId="afff4">
    <w:name w:val="批注主题 字符"/>
    <w:basedOn w:val="affb"/>
    <w:link w:val="afff3"/>
    <w:semiHidden/>
    <w:qFormat/>
    <w:rPr>
      <w:b/>
      <w:bCs/>
      <w:kern w:val="2"/>
      <w:sz w:val="21"/>
      <w:szCs w:val="24"/>
    </w:rPr>
  </w:style>
  <w:style w:type="paragraph" w:customStyle="1" w:styleId="13">
    <w:name w:val="修订1"/>
    <w:hidden/>
    <w:uiPriority w:val="99"/>
    <w:semiHidden/>
    <w:qFormat/>
    <w:rPr>
      <w:rFonts w:ascii="Times New Roman" w:hAnsi="Times New Roman"/>
      <w:kern w:val="2"/>
      <w:sz w:val="21"/>
      <w:szCs w:val="24"/>
    </w:rPr>
  </w:style>
  <w:style w:type="paragraph" w:customStyle="1" w:styleId="27">
    <w:name w:val="修订2"/>
    <w:hidden/>
    <w:uiPriority w:val="99"/>
    <w:semiHidden/>
    <w:qFormat/>
    <w:rPr>
      <w:rFonts w:ascii="Times New Roman" w:hAnsi="Times New Roman"/>
      <w:kern w:val="2"/>
      <w:sz w:val="21"/>
      <w:szCs w:val="24"/>
    </w:rPr>
  </w:style>
  <w:style w:type="paragraph" w:customStyle="1" w:styleId="afffffff2">
    <w:name w:val="标准文件_段"/>
    <w:qFormat/>
    <w:pPr>
      <w:autoSpaceDE w:val="0"/>
      <w:autoSpaceDN w:val="0"/>
      <w:ind w:firstLineChars="200" w:firstLine="200"/>
      <w:jc w:val="both"/>
    </w:pPr>
    <w:rPr>
      <w:rFonts w:ascii="宋体" w:hAnsi="Times New Roman"/>
      <w:sz w:val="21"/>
    </w:rPr>
  </w:style>
  <w:style w:type="paragraph" w:customStyle="1" w:styleId="afffffff3">
    <w:name w:val="标准文件_术语条一"/>
    <w:basedOn w:val="afffffff4"/>
    <w:next w:val="afffffff2"/>
    <w:qFormat/>
  </w:style>
  <w:style w:type="paragraph" w:customStyle="1" w:styleId="afffffff4">
    <w:name w:val="标准文件_一级无标题"/>
    <w:basedOn w:val="aff1"/>
    <w:qFormat/>
    <w:pPr>
      <w:spacing w:beforeLines="0" w:afterLines="0"/>
      <w:outlineLvl w:val="9"/>
    </w:pPr>
    <w:rPr>
      <w:rFonts w:ascii="宋体" w:eastAsia="宋体"/>
    </w:rPr>
  </w:style>
  <w:style w:type="paragraph" w:customStyle="1" w:styleId="aff1">
    <w:name w:val="标准文件_一级条标题"/>
    <w:basedOn w:val="aff0"/>
    <w:next w:val="afffffff2"/>
    <w:qFormat/>
    <w:pPr>
      <w:numPr>
        <w:ilvl w:val="2"/>
      </w:numPr>
      <w:spacing w:beforeLines="50" w:afterLines="50"/>
      <w:outlineLvl w:val="1"/>
    </w:pPr>
  </w:style>
  <w:style w:type="paragraph" w:customStyle="1" w:styleId="aff0">
    <w:name w:val="标准文件_章标题"/>
    <w:next w:val="afffffff2"/>
    <w:qFormat/>
    <w:pPr>
      <w:numPr>
        <w:ilvl w:val="1"/>
        <w:numId w:val="18"/>
      </w:numPr>
      <w:spacing w:beforeLines="100" w:afterLines="100"/>
      <w:jc w:val="both"/>
      <w:outlineLvl w:val="0"/>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8C56784FB4846BF4854397F6D65AC"/>
        <w:category>
          <w:name w:val="常规"/>
          <w:gallery w:val="placeholder"/>
        </w:category>
        <w:types>
          <w:type w:val="bbPlcHdr"/>
        </w:types>
        <w:behaviors>
          <w:behavior w:val="content"/>
        </w:behaviors>
        <w:guid w:val="{557067AE-E084-4ACC-9DF3-3FF7863D31BC}"/>
      </w:docPartPr>
      <w:docPartBody>
        <w:p w:rsidR="008E3132" w:rsidRDefault="000E0B80">
          <w:pPr>
            <w:pStyle w:val="F098C56784FB4846BF4854397F6D65AC"/>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C0"/>
    <w:rsid w:val="000940D4"/>
    <w:rsid w:val="000E09BC"/>
    <w:rsid w:val="000E0B80"/>
    <w:rsid w:val="001853EF"/>
    <w:rsid w:val="00190586"/>
    <w:rsid w:val="001A174B"/>
    <w:rsid w:val="001C5463"/>
    <w:rsid w:val="002D0772"/>
    <w:rsid w:val="002F18AE"/>
    <w:rsid w:val="003F3DEA"/>
    <w:rsid w:val="004709C0"/>
    <w:rsid w:val="004A005D"/>
    <w:rsid w:val="004F5982"/>
    <w:rsid w:val="00576F29"/>
    <w:rsid w:val="005C7029"/>
    <w:rsid w:val="00724A10"/>
    <w:rsid w:val="007A5E21"/>
    <w:rsid w:val="007D573B"/>
    <w:rsid w:val="00810E50"/>
    <w:rsid w:val="00892D63"/>
    <w:rsid w:val="008A5FCA"/>
    <w:rsid w:val="008D36F7"/>
    <w:rsid w:val="008E3132"/>
    <w:rsid w:val="009F2909"/>
    <w:rsid w:val="00A4520F"/>
    <w:rsid w:val="00A61FA7"/>
    <w:rsid w:val="00A96370"/>
    <w:rsid w:val="00AD68F2"/>
    <w:rsid w:val="00AE0639"/>
    <w:rsid w:val="00BE68B8"/>
    <w:rsid w:val="00C03077"/>
    <w:rsid w:val="00CC0CCC"/>
    <w:rsid w:val="00D12EF5"/>
    <w:rsid w:val="00D70819"/>
    <w:rsid w:val="00D76A33"/>
    <w:rsid w:val="00E56B9C"/>
    <w:rsid w:val="00ED526E"/>
    <w:rsid w:val="00FC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190586"/>
    <w:rPr>
      <w:color w:val="808080"/>
    </w:rPr>
  </w:style>
  <w:style w:type="paragraph" w:customStyle="1" w:styleId="F098C56784FB4846BF4854397F6D65AC">
    <w:name w:val="F098C56784FB4846BF4854397F6D65A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00AA8-B325-47A4-8C8B-1CADD80F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907</Words>
  <Characters>5176</Characters>
  <Application>Microsoft Office Word</Application>
  <DocSecurity>0</DocSecurity>
  <Lines>43</Lines>
  <Paragraphs>12</Paragraphs>
  <ScaleCrop>false</ScaleCrop>
  <Company>zle</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dell</dc:creator>
  <cp:lastModifiedBy>dell</cp:lastModifiedBy>
  <cp:revision>4</cp:revision>
  <cp:lastPrinted>2021-01-05T05:45:00Z</cp:lastPrinted>
  <dcterms:created xsi:type="dcterms:W3CDTF">2021-03-09T08:07:00Z</dcterms:created>
  <dcterms:modified xsi:type="dcterms:W3CDTF">2021-03-10T00:37:00Z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