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rPr>
        <w:t>国家标准《药品物流服务规范》</w:t>
      </w:r>
    </w:p>
    <w:p>
      <w:pPr>
        <w:widowControl/>
        <w:jc w:val="center"/>
        <w:rPr>
          <w:rFonts w:ascii="仿宋_GB2312" w:hAnsi="Arial" w:eastAsia="仿宋_GB2312" w:cs="Arial"/>
          <w:bCs/>
          <w:color w:val="C00000"/>
          <w:kern w:val="0"/>
          <w:sz w:val="28"/>
          <w:szCs w:val="28"/>
        </w:rPr>
      </w:pPr>
      <w:r>
        <w:rPr>
          <w:rFonts w:hint="eastAsia" w:ascii="宋体" w:hAnsi="宋体" w:eastAsia="宋体" w:cs="宋体"/>
          <w:b/>
          <w:sz w:val="36"/>
          <w:szCs w:val="36"/>
        </w:rPr>
        <w:t>（征求意见稿）编制说明</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一、项目来源</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《药品物流服务规范》</w:t>
      </w:r>
      <w:r>
        <w:rPr>
          <w:rFonts w:hint="eastAsia" w:ascii="宋体" w:hAnsi="宋体" w:eastAsia="宋体" w:cs="宋体"/>
          <w:color w:val="000000" w:themeColor="text1"/>
          <w:sz w:val="28"/>
          <w:szCs w:val="28"/>
          <w:lang w:val="en-US" w:eastAsia="zh-CN"/>
          <w14:textFill>
            <w14:solidFill>
              <w14:schemeClr w14:val="tx1"/>
            </w14:solidFill>
          </w14:textFill>
        </w:rPr>
        <w:t>是列入</w:t>
      </w:r>
      <w:r>
        <w:rPr>
          <w:rFonts w:hint="eastAsia" w:ascii="宋体" w:hAnsi="宋体" w:eastAsia="宋体" w:cs="宋体"/>
          <w:color w:val="000000" w:themeColor="text1"/>
          <w:sz w:val="28"/>
          <w:szCs w:val="28"/>
          <w14:textFill>
            <w14:solidFill>
              <w14:schemeClr w14:val="tx1"/>
            </w14:solidFill>
          </w14:textFill>
        </w:rPr>
        <w:t>国</w:t>
      </w:r>
      <w:r>
        <w:rPr>
          <w:rFonts w:hint="eastAsia" w:ascii="宋体" w:hAnsi="宋体" w:eastAsia="宋体" w:cs="宋体"/>
          <w:color w:val="000000" w:themeColor="text1"/>
          <w:sz w:val="28"/>
          <w:szCs w:val="28"/>
          <w:lang w:val="en-US" w:eastAsia="zh-CN"/>
          <w14:textFill>
            <w14:solidFill>
              <w14:schemeClr w14:val="tx1"/>
            </w14:solidFill>
          </w14:textFill>
        </w:rPr>
        <w:t>家</w:t>
      </w:r>
      <w:r>
        <w:rPr>
          <w:rFonts w:hint="eastAsia" w:ascii="宋体" w:hAnsi="宋体" w:eastAsia="宋体" w:cs="宋体"/>
          <w:color w:val="000000" w:themeColor="text1"/>
          <w:sz w:val="28"/>
          <w:szCs w:val="28"/>
          <w14:textFill>
            <w14:solidFill>
              <w14:schemeClr w14:val="tx1"/>
            </w14:solidFill>
          </w14:textFill>
        </w:rPr>
        <w:t>标</w:t>
      </w:r>
      <w:r>
        <w:rPr>
          <w:rFonts w:hint="eastAsia" w:ascii="宋体" w:hAnsi="宋体" w:eastAsia="宋体" w:cs="宋体"/>
          <w:color w:val="000000" w:themeColor="text1"/>
          <w:sz w:val="28"/>
          <w:szCs w:val="28"/>
          <w:lang w:val="en-US" w:eastAsia="zh-CN"/>
          <w14:textFill>
            <w14:solidFill>
              <w14:schemeClr w14:val="tx1"/>
            </w14:solidFill>
          </w14:textFill>
        </w:rPr>
        <w:t>准化管理</w:t>
      </w:r>
      <w:r>
        <w:rPr>
          <w:rFonts w:hint="eastAsia" w:ascii="宋体" w:hAnsi="宋体" w:eastAsia="宋体" w:cs="宋体"/>
          <w:color w:val="000000" w:themeColor="text1"/>
          <w:sz w:val="28"/>
          <w:szCs w:val="28"/>
          <w14:textFill>
            <w14:solidFill>
              <w14:schemeClr w14:val="tx1"/>
            </w14:solidFill>
          </w14:textFill>
        </w:rPr>
        <w:t>委</w:t>
      </w:r>
      <w:r>
        <w:rPr>
          <w:rFonts w:hint="eastAsia" w:ascii="宋体" w:hAnsi="宋体" w:eastAsia="宋体" w:cs="宋体"/>
          <w:color w:val="000000" w:themeColor="text1"/>
          <w:sz w:val="28"/>
          <w:szCs w:val="28"/>
          <w:lang w:val="en-US" w:eastAsia="zh-CN"/>
          <w14:textFill>
            <w14:solidFill>
              <w14:schemeClr w14:val="tx1"/>
            </w14:solidFill>
          </w14:textFill>
        </w:rPr>
        <w:t>员会</w:t>
      </w:r>
      <w:r>
        <w:rPr>
          <w:rFonts w:hint="eastAsia" w:ascii="宋体" w:hAnsi="宋体" w:eastAsia="宋体" w:cs="宋体"/>
          <w:color w:val="000000" w:themeColor="text1"/>
          <w:sz w:val="28"/>
          <w:szCs w:val="28"/>
          <w14:textFill>
            <w14:solidFill>
              <w14:schemeClr w14:val="tx1"/>
            </w14:solidFill>
          </w14:textFill>
        </w:rPr>
        <w:t>《2021年第三批推荐性国家标准计划》（国标委发〔2021〕28号）</w:t>
      </w:r>
      <w:r>
        <w:rPr>
          <w:rFonts w:hint="eastAsia" w:ascii="宋体" w:hAnsi="宋体" w:eastAsia="宋体" w:cs="宋体"/>
          <w:color w:val="000000" w:themeColor="text1"/>
          <w:sz w:val="28"/>
          <w:szCs w:val="28"/>
          <w:lang w:val="en-US" w:eastAsia="zh-CN"/>
          <w14:textFill>
            <w14:solidFill>
              <w14:schemeClr w14:val="tx1"/>
            </w14:solidFill>
          </w14:textFill>
        </w:rPr>
        <w:t>的修订项目，</w:t>
      </w:r>
      <w:r>
        <w:rPr>
          <w:rFonts w:hint="eastAsia" w:ascii="宋体" w:hAnsi="宋体" w:eastAsia="宋体" w:cs="宋体"/>
          <w:color w:val="000000" w:themeColor="text1"/>
          <w:sz w:val="28"/>
          <w:szCs w:val="28"/>
          <w14:textFill>
            <w14:solidFill>
              <w14:schemeClr w14:val="tx1"/>
            </w14:solidFill>
          </w14:textFill>
        </w:rPr>
        <w:t>项目编号为：20214071-T-469。该标准由全国物流标准化技术委员会（SAC/TC 269）提出并归口，由中国物流与采购联合会、国药集团医药物流有限公司共同牵头组织修订。</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二、标准名称变更</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三、标准编写的目的、意义</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“十三五”期间，两票制、“4+7”带量采购等医改政策密集出台，对</w:t>
      </w:r>
      <w:r>
        <w:rPr>
          <w:rFonts w:hint="eastAsia" w:ascii="宋体" w:hAnsi="宋体" w:eastAsia="宋体" w:cs="宋体"/>
          <w:color w:val="000000" w:themeColor="text1"/>
          <w:sz w:val="28"/>
          <w:szCs w:val="28"/>
          <w:lang w:val="en-US" w:eastAsia="zh-CN"/>
          <w14:textFill>
            <w14:solidFill>
              <w14:schemeClr w14:val="tx1"/>
            </w14:solidFill>
          </w14:textFill>
        </w:rPr>
        <w:t>药品</w:t>
      </w:r>
      <w:r>
        <w:rPr>
          <w:rFonts w:hint="eastAsia" w:ascii="宋体" w:hAnsi="宋体" w:eastAsia="宋体" w:cs="宋体"/>
          <w:color w:val="000000" w:themeColor="text1"/>
          <w:sz w:val="28"/>
          <w:szCs w:val="28"/>
          <w14:textFill>
            <w14:solidFill>
              <w14:schemeClr w14:val="tx1"/>
            </w14:solidFill>
          </w14:textFill>
        </w:rPr>
        <w:t>行业的发展带来了极其深刻的影响，</w:t>
      </w:r>
      <w:r>
        <w:rPr>
          <w:rFonts w:hint="eastAsia" w:ascii="宋体" w:hAnsi="宋体" w:eastAsia="宋体" w:cs="宋体"/>
          <w:color w:val="000000" w:themeColor="text1"/>
          <w:sz w:val="28"/>
          <w:szCs w:val="28"/>
          <w:lang w:val="en-US" w:eastAsia="zh-CN"/>
          <w14:textFill>
            <w14:solidFill>
              <w14:schemeClr w14:val="tx1"/>
            </w14:solidFill>
          </w14:textFill>
        </w:rPr>
        <w:t>药品</w:t>
      </w:r>
      <w:r>
        <w:rPr>
          <w:rFonts w:hint="eastAsia" w:ascii="宋体" w:hAnsi="宋体" w:eastAsia="宋体" w:cs="宋体"/>
          <w:color w:val="000000" w:themeColor="text1"/>
          <w:sz w:val="28"/>
          <w:szCs w:val="28"/>
          <w14:textFill>
            <w14:solidFill>
              <w14:schemeClr w14:val="tx1"/>
            </w14:solidFill>
          </w14:textFill>
        </w:rPr>
        <w:t>流通模式不断创新，物流市场日趋活跃</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药品</w:t>
      </w:r>
      <w:r>
        <w:rPr>
          <w:rFonts w:hint="eastAsia" w:ascii="宋体" w:hAnsi="宋体" w:eastAsia="宋体" w:cs="宋体"/>
          <w:color w:val="000000" w:themeColor="text1"/>
          <w:sz w:val="28"/>
          <w:szCs w:val="28"/>
          <w14:textFill>
            <w14:solidFill>
              <w14:schemeClr w14:val="tx1"/>
            </w14:solidFill>
          </w14:textFill>
        </w:rPr>
        <w:t>行业在政策与市场的双重驱动下，持续保持高速增长，行业规模突破2.5万亿</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行业的发展也对药品物流服务提出了更高的要求，</w:t>
      </w:r>
      <w:r>
        <w:rPr>
          <w:rFonts w:hint="eastAsia" w:ascii="宋体" w:hAnsi="宋体" w:eastAsia="宋体" w:cs="宋体"/>
          <w:color w:val="000000" w:themeColor="text1"/>
          <w:sz w:val="28"/>
          <w:szCs w:val="28"/>
          <w14:textFill>
            <w14:solidFill>
              <w14:schemeClr w14:val="tx1"/>
            </w14:solidFill>
          </w14:textFill>
        </w:rPr>
        <w:t>GB/T 30335—2013《药品物流服务规范》</w:t>
      </w:r>
      <w:r>
        <w:rPr>
          <w:rFonts w:hint="eastAsia" w:ascii="宋体" w:hAnsi="宋体" w:eastAsia="宋体" w:cs="宋体"/>
          <w:color w:val="000000" w:themeColor="text1"/>
          <w:sz w:val="28"/>
          <w:szCs w:val="28"/>
          <w:lang w:val="en-US" w:eastAsia="zh-CN"/>
          <w14:textFill>
            <w14:solidFill>
              <w14:schemeClr w14:val="tx1"/>
            </w14:solidFill>
          </w14:textFill>
        </w:rPr>
        <w:t>国家标准的部分内容已经落后于行业的发展</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主要体现在以下几个方面：</w:t>
      </w:r>
    </w:p>
    <w:p>
      <w:pPr>
        <w:numPr>
          <w:ilvl w:val="0"/>
          <w:numId w:val="4"/>
        </w:numPr>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原标准中对设施设备及验证、物流作业、信息化管理等方面的要求无法满足行业发展的需求</w:t>
      </w:r>
      <w:r>
        <w:rPr>
          <w:rFonts w:hint="eastAsia" w:ascii="宋体" w:hAnsi="宋体" w:eastAsia="宋体" w:cs="宋体"/>
          <w:color w:val="000000" w:themeColor="text1"/>
          <w:sz w:val="28"/>
          <w:szCs w:val="28"/>
          <w:lang w:eastAsia="zh-CN"/>
          <w14:textFill>
            <w14:solidFill>
              <w14:schemeClr w14:val="tx1"/>
            </w14:solidFill>
          </w14:textFill>
        </w:rPr>
        <w:t>；</w:t>
      </w:r>
    </w:p>
    <w:p>
      <w:pPr>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新</w:t>
      </w:r>
      <w:r>
        <w:rPr>
          <w:rFonts w:hint="eastAsia" w:ascii="宋体" w:hAnsi="宋体" w:eastAsia="宋体" w:cs="宋体"/>
          <w:color w:val="000000" w:themeColor="text1"/>
          <w:sz w:val="28"/>
          <w:szCs w:val="28"/>
          <w:lang w:val="en-US" w:eastAsia="zh-CN"/>
          <w14:textFill>
            <w14:solidFill>
              <w14:schemeClr w14:val="tx1"/>
            </w14:solidFill>
          </w14:textFill>
        </w:rPr>
        <w:t>版</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中华人民共和国</w:t>
      </w:r>
      <w:r>
        <w:rPr>
          <w:rFonts w:hint="eastAsia" w:ascii="宋体" w:hAnsi="宋体" w:eastAsia="宋体" w:cs="宋体"/>
          <w:color w:val="000000" w:themeColor="text1"/>
          <w:sz w:val="28"/>
          <w:szCs w:val="28"/>
          <w14:textFill>
            <w14:solidFill>
              <w14:schemeClr w14:val="tx1"/>
            </w14:solidFill>
          </w14:textFill>
        </w:rPr>
        <w:t>药品管理法》、《</w:t>
      </w:r>
      <w:r>
        <w:rPr>
          <w:rFonts w:hint="eastAsia" w:ascii="宋体" w:hAnsi="宋体" w:eastAsia="宋体" w:cs="宋体"/>
          <w:color w:val="000000" w:themeColor="text1"/>
          <w:sz w:val="28"/>
          <w:szCs w:val="28"/>
          <w:lang w:val="en-US" w:eastAsia="zh-CN"/>
          <w14:textFill>
            <w14:solidFill>
              <w14:schemeClr w14:val="tx1"/>
            </w14:solidFill>
          </w14:textFill>
        </w:rPr>
        <w:t>中华人民共和国</w:t>
      </w:r>
      <w:r>
        <w:rPr>
          <w:rFonts w:hint="eastAsia" w:ascii="宋体" w:hAnsi="宋体" w:eastAsia="宋体" w:cs="宋体"/>
          <w:color w:val="000000" w:themeColor="text1"/>
          <w:sz w:val="28"/>
          <w:szCs w:val="28"/>
          <w14:textFill>
            <w14:solidFill>
              <w14:schemeClr w14:val="tx1"/>
            </w14:solidFill>
          </w14:textFill>
        </w:rPr>
        <w:t>疫苗管理法》、《药品经营质量管理规范》</w:t>
      </w:r>
      <w:r>
        <w:rPr>
          <w:rFonts w:hint="eastAsia" w:ascii="宋体" w:hAnsi="宋体" w:eastAsia="宋体" w:cs="宋体"/>
          <w:color w:val="000000" w:themeColor="text1"/>
          <w:sz w:val="28"/>
          <w:szCs w:val="28"/>
          <w:lang w:val="en-US" w:eastAsia="zh-CN"/>
          <w14:textFill>
            <w14:solidFill>
              <w14:schemeClr w14:val="tx1"/>
            </w14:solidFill>
          </w14:textFill>
        </w:rPr>
        <w:t>等法律</w:t>
      </w:r>
      <w:r>
        <w:rPr>
          <w:rFonts w:hint="eastAsia" w:ascii="宋体" w:hAnsi="宋体" w:eastAsia="宋体" w:cs="宋体"/>
          <w:color w:val="000000" w:themeColor="text1"/>
          <w:sz w:val="28"/>
          <w:szCs w:val="28"/>
          <w14:textFill>
            <w14:solidFill>
              <w14:schemeClr w14:val="tx1"/>
            </w14:solidFill>
          </w14:textFill>
        </w:rPr>
        <w:t>法规的</w:t>
      </w:r>
      <w:r>
        <w:rPr>
          <w:rFonts w:hint="eastAsia" w:ascii="宋体" w:hAnsi="宋体" w:eastAsia="宋体" w:cs="宋体"/>
          <w:color w:val="000000" w:themeColor="text1"/>
          <w:sz w:val="28"/>
          <w:szCs w:val="28"/>
          <w:lang w:val="en-US" w:eastAsia="zh-CN"/>
          <w14:textFill>
            <w14:solidFill>
              <w14:schemeClr w14:val="tx1"/>
            </w14:solidFill>
          </w14:textFill>
        </w:rPr>
        <w:t>修订</w:t>
      </w:r>
      <w:r>
        <w:rPr>
          <w:rFonts w:hint="eastAsia" w:ascii="宋体" w:hAnsi="宋体" w:eastAsia="宋体" w:cs="宋体"/>
          <w:color w:val="000000" w:themeColor="text1"/>
          <w:sz w:val="28"/>
          <w:szCs w:val="28"/>
          <w14:textFill>
            <w14:solidFill>
              <w14:schemeClr w14:val="tx1"/>
            </w14:solidFill>
          </w14:textFill>
        </w:rPr>
        <w:t>实施，</w:t>
      </w:r>
      <w:r>
        <w:rPr>
          <w:rFonts w:hint="eastAsia" w:ascii="宋体" w:hAnsi="宋体" w:eastAsia="宋体" w:cs="宋体"/>
          <w:color w:val="000000" w:themeColor="text1"/>
          <w:sz w:val="28"/>
          <w:szCs w:val="28"/>
          <w:lang w:val="en-US" w:eastAsia="zh-CN"/>
          <w14:textFill>
            <w14:solidFill>
              <w14:schemeClr w14:val="tx1"/>
            </w14:solidFill>
          </w14:textFill>
        </w:rPr>
        <w:t>以及</w:t>
      </w:r>
      <w:r>
        <w:rPr>
          <w:rFonts w:hint="eastAsia" w:ascii="宋体" w:hAnsi="宋体" w:eastAsia="宋体" w:cs="宋体"/>
          <w:color w:val="000000" w:themeColor="text1"/>
          <w:sz w:val="28"/>
          <w:szCs w:val="28"/>
          <w14:textFill>
            <w14:solidFill>
              <w14:schemeClr w14:val="tx1"/>
            </w14:solidFill>
          </w14:textFill>
        </w:rPr>
        <w:t>药品电子监管码的取消，标准部分条款</w:t>
      </w:r>
      <w:r>
        <w:rPr>
          <w:rFonts w:hint="eastAsia" w:ascii="宋体" w:hAnsi="宋体" w:eastAsia="宋体" w:cs="宋体"/>
          <w:color w:val="000000" w:themeColor="text1"/>
          <w:sz w:val="28"/>
          <w:szCs w:val="28"/>
          <w:lang w:val="en-US" w:eastAsia="zh-CN"/>
          <w14:textFill>
            <w14:solidFill>
              <w14:schemeClr w14:val="tx1"/>
            </w14:solidFill>
          </w14:textFill>
        </w:rPr>
        <w:t>出现</w:t>
      </w:r>
      <w:r>
        <w:rPr>
          <w:rFonts w:hint="eastAsia" w:ascii="宋体" w:hAnsi="宋体" w:eastAsia="宋体" w:cs="宋体"/>
          <w:color w:val="000000" w:themeColor="text1"/>
          <w:sz w:val="28"/>
          <w:szCs w:val="28"/>
          <w14:textFill>
            <w14:solidFill>
              <w14:schemeClr w14:val="tx1"/>
            </w14:solidFill>
          </w14:textFill>
        </w:rPr>
        <w:t>与现行法规不符</w:t>
      </w:r>
      <w:r>
        <w:rPr>
          <w:rFonts w:hint="eastAsia" w:ascii="宋体" w:hAnsi="宋体" w:eastAsia="宋体" w:cs="宋体"/>
          <w:color w:val="000000" w:themeColor="text1"/>
          <w:sz w:val="28"/>
          <w:szCs w:val="28"/>
          <w:lang w:val="en-US" w:eastAsia="zh-CN"/>
          <w14:textFill>
            <w14:solidFill>
              <w14:schemeClr w14:val="tx1"/>
            </w14:solidFill>
          </w14:textFill>
        </w:rPr>
        <w:t>的情况</w:t>
      </w:r>
      <w:r>
        <w:rPr>
          <w:rFonts w:hint="eastAsia" w:ascii="宋体" w:hAnsi="宋体" w:eastAsia="宋体" w:cs="宋体"/>
          <w:color w:val="000000" w:themeColor="text1"/>
          <w:sz w:val="28"/>
          <w:szCs w:val="28"/>
          <w:lang w:eastAsia="zh-CN"/>
          <w14:textFill>
            <w14:solidFill>
              <w14:schemeClr w14:val="tx1"/>
            </w14:solidFill>
          </w14:textFill>
        </w:rPr>
        <w:t>。</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综上所述，</w:t>
      </w:r>
      <w:r>
        <w:rPr>
          <w:rFonts w:hint="eastAsia" w:ascii="宋体" w:hAnsi="宋体" w:eastAsia="宋体" w:cs="宋体"/>
          <w:color w:val="000000" w:themeColor="text1"/>
          <w:sz w:val="28"/>
          <w:szCs w:val="28"/>
          <w14:textFill>
            <w14:solidFill>
              <w14:schemeClr w14:val="tx1"/>
            </w14:solidFill>
          </w14:textFill>
        </w:rPr>
        <w:t>为了进一步适应行业发展，</w:t>
      </w:r>
      <w:r>
        <w:rPr>
          <w:rFonts w:hint="eastAsia" w:ascii="宋体" w:hAnsi="宋体" w:eastAsia="宋体" w:cs="宋体"/>
          <w:color w:val="000000" w:themeColor="text1"/>
          <w:sz w:val="28"/>
          <w:szCs w:val="28"/>
          <w:lang w:val="en-US" w:eastAsia="zh-CN"/>
          <w14:textFill>
            <w14:solidFill>
              <w14:schemeClr w14:val="tx1"/>
            </w14:solidFill>
          </w14:textFill>
        </w:rPr>
        <w:t>急需</w:t>
      </w:r>
      <w:r>
        <w:rPr>
          <w:rFonts w:hint="eastAsia" w:ascii="宋体" w:hAnsi="宋体" w:eastAsia="宋体" w:cs="宋体"/>
          <w:color w:val="000000" w:themeColor="text1"/>
          <w:sz w:val="28"/>
          <w:szCs w:val="28"/>
          <w14:textFill>
            <w14:solidFill>
              <w14:schemeClr w14:val="tx1"/>
            </w14:solidFill>
          </w14:textFill>
        </w:rPr>
        <w:t>对</w:t>
      </w:r>
      <w:r>
        <w:rPr>
          <w:rFonts w:hint="eastAsia" w:ascii="宋体" w:hAnsi="宋体" w:eastAsia="宋体" w:cs="宋体"/>
          <w:color w:val="000000" w:themeColor="text1"/>
          <w:sz w:val="28"/>
          <w:szCs w:val="28"/>
          <w:lang w:val="en-US" w:eastAsia="zh-CN"/>
          <w14:textFill>
            <w14:solidFill>
              <w14:schemeClr w14:val="tx1"/>
            </w14:solidFill>
          </w14:textFill>
        </w:rPr>
        <w:t>现行的</w:t>
      </w:r>
      <w:r>
        <w:rPr>
          <w:rFonts w:hint="eastAsia" w:ascii="宋体" w:hAnsi="宋体" w:eastAsia="宋体" w:cs="宋体"/>
          <w:color w:val="000000" w:themeColor="text1"/>
          <w:sz w:val="28"/>
          <w:szCs w:val="28"/>
          <w14:textFill>
            <w14:solidFill>
              <w14:schemeClr w14:val="tx1"/>
            </w14:solidFill>
          </w14:textFill>
        </w:rPr>
        <w:t>《药品物流服务规范》</w:t>
      </w:r>
      <w:r>
        <w:rPr>
          <w:rFonts w:hint="eastAsia" w:ascii="宋体" w:hAnsi="宋体" w:eastAsia="宋体" w:cs="宋体"/>
          <w:color w:val="000000" w:themeColor="text1"/>
          <w:sz w:val="28"/>
          <w:szCs w:val="28"/>
          <w:lang w:val="en-US" w:eastAsia="zh-CN"/>
          <w14:textFill>
            <w14:solidFill>
              <w14:schemeClr w14:val="tx1"/>
            </w14:solidFill>
          </w14:textFill>
        </w:rPr>
        <w:t>国家标准</w:t>
      </w:r>
      <w:r>
        <w:rPr>
          <w:rFonts w:hint="eastAsia" w:ascii="宋体" w:hAnsi="宋体" w:eastAsia="宋体" w:cs="宋体"/>
          <w:color w:val="000000" w:themeColor="text1"/>
          <w:sz w:val="28"/>
          <w:szCs w:val="28"/>
          <w14:textFill>
            <w14:solidFill>
              <w14:schemeClr w14:val="tx1"/>
            </w14:solidFill>
          </w14:textFill>
        </w:rPr>
        <w:t>进行修订，</w:t>
      </w:r>
      <w:r>
        <w:rPr>
          <w:rFonts w:hint="eastAsia" w:ascii="宋体" w:hAnsi="宋体" w:eastAsia="宋体" w:cs="宋体"/>
          <w:color w:val="000000" w:themeColor="text1"/>
          <w:sz w:val="28"/>
          <w:szCs w:val="28"/>
          <w:lang w:val="en-US" w:eastAsia="zh-CN"/>
          <w14:textFill>
            <w14:solidFill>
              <w14:schemeClr w14:val="tx1"/>
            </w14:solidFill>
          </w14:textFill>
        </w:rPr>
        <w:t>标准的修订对</w:t>
      </w:r>
      <w:r>
        <w:rPr>
          <w:rFonts w:hint="eastAsia" w:ascii="宋体" w:hAnsi="宋体" w:eastAsia="宋体" w:cs="宋体"/>
          <w:color w:val="000000" w:themeColor="text1"/>
          <w:sz w:val="28"/>
          <w:szCs w:val="28"/>
          <w14:textFill>
            <w14:solidFill>
              <w14:schemeClr w14:val="tx1"/>
            </w14:solidFill>
          </w14:textFill>
        </w:rPr>
        <w:t>进一步促进和引导药品现代物流业的健康有序发展，确保药品在物流环节中的质量安全</w:t>
      </w:r>
      <w:r>
        <w:rPr>
          <w:rFonts w:hint="eastAsia" w:ascii="宋体" w:hAnsi="宋体" w:eastAsia="宋体" w:cs="宋体"/>
          <w:color w:val="000000" w:themeColor="text1"/>
          <w:sz w:val="28"/>
          <w:szCs w:val="28"/>
          <w:lang w:val="en-US" w:eastAsia="zh-CN"/>
          <w14:textFill>
            <w14:solidFill>
              <w14:schemeClr w14:val="tx1"/>
            </w14:solidFill>
          </w14:textFill>
        </w:rPr>
        <w:t>具有重要意义</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eastAsia="zh-CN"/>
        </w:rPr>
        <w:t>立项</w:t>
      </w:r>
      <w:r>
        <w:rPr>
          <w:rFonts w:hint="eastAsia" w:ascii="宋体" w:hAnsi="宋体" w:eastAsia="宋体" w:cs="宋体"/>
          <w:sz w:val="28"/>
          <w:szCs w:val="28"/>
        </w:rPr>
        <w:t>阶段</w:t>
      </w:r>
    </w:p>
    <w:p>
      <w:pPr>
        <w:spacing w:line="360" w:lineRule="auto"/>
        <w:ind w:firstLine="560" w:firstLineChars="200"/>
        <w:rPr>
          <w:rFonts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2021年10月13日，</w:t>
      </w:r>
      <w:r>
        <w:rPr>
          <w:rFonts w:hint="eastAsia" w:ascii="宋体" w:hAnsi="宋体" w:eastAsia="宋体" w:cs="宋体"/>
          <w:sz w:val="28"/>
          <w:szCs w:val="28"/>
        </w:rPr>
        <w:t>国家标准化管理委员会关于下达</w:t>
      </w:r>
      <w:r>
        <w:rPr>
          <w:rFonts w:hint="eastAsia" w:ascii="宋体" w:hAnsi="宋体" w:eastAsia="宋体" w:cs="宋体"/>
          <w:color w:val="000000" w:themeColor="text1"/>
          <w:sz w:val="28"/>
          <w:szCs w:val="28"/>
          <w14:textFill>
            <w14:solidFill>
              <w14:schemeClr w14:val="tx1"/>
            </w14:solidFill>
          </w14:textFill>
        </w:rPr>
        <w:t>《2021年第三批推荐性国家标准计划》（第三批）（国标委发〔2021〕28号）文件，</w:t>
      </w:r>
      <w:r>
        <w:rPr>
          <w:rFonts w:hint="eastAsia" w:ascii="宋体" w:hAnsi="宋体" w:eastAsia="宋体" w:cs="宋体"/>
          <w:sz w:val="28"/>
          <w:szCs w:val="28"/>
        </w:rPr>
        <w:t>国家标准被正式批准修订，</w:t>
      </w:r>
      <w:r>
        <w:rPr>
          <w:rFonts w:hint="eastAsia" w:ascii="宋体" w:hAnsi="宋体" w:eastAsia="宋体" w:cs="宋体"/>
          <w:color w:val="000000" w:themeColor="text1"/>
          <w:sz w:val="28"/>
          <w:szCs w:val="28"/>
          <w14:textFill>
            <w14:solidFill>
              <w14:schemeClr w14:val="tx1"/>
            </w14:solidFill>
          </w14:textFill>
        </w:rPr>
        <w:t>项目编号为：20214071-T-469。</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工作组讨论稿</w:t>
      </w:r>
      <w:r>
        <w:rPr>
          <w:rFonts w:hint="eastAsia" w:ascii="宋体" w:hAnsi="宋体" w:eastAsia="宋体" w:cs="宋体"/>
          <w:sz w:val="28"/>
          <w:szCs w:val="28"/>
        </w:rPr>
        <w:t>阶段</w:t>
      </w:r>
    </w:p>
    <w:p>
      <w:pPr>
        <w:adjustRightInd/>
        <w:snapToGrid/>
        <w:spacing w:line="360" w:lineRule="auto"/>
        <w:ind w:firstLine="560" w:firstLineChars="200"/>
        <w:outlineLvl w:val="9"/>
        <w:rPr>
          <w:rFonts w:hint="eastAsia" w:asciiTheme="minorEastAsia" w:hAnsiTheme="minorEastAsia" w:eastAsiaTheme="minorEastAsia"/>
          <w:sz w:val="28"/>
          <w:szCs w:val="28"/>
          <w:lang w:val="en-US" w:eastAsia="zh-CN"/>
        </w:rPr>
      </w:pPr>
      <w:r>
        <w:rPr>
          <w:rFonts w:hint="eastAsia" w:ascii="宋体" w:hAnsi="宋体" w:eastAsia="宋体" w:cs="宋体"/>
          <w:sz w:val="28"/>
          <w:szCs w:val="28"/>
        </w:rPr>
        <w:t>1、2022年1月到2022年3月，此项标准面向社会公开征集起草单位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并成立标准起草小组。</w:t>
      </w:r>
      <w:r>
        <w:rPr>
          <w:rFonts w:hint="eastAsia" w:asciiTheme="minorEastAsia" w:hAnsiTheme="minorEastAsia" w:eastAsiaTheme="minorEastAsia"/>
          <w:sz w:val="28"/>
          <w:szCs w:val="28"/>
          <w:lang w:val="en-US" w:eastAsia="zh-CN"/>
        </w:rPr>
        <w:t>各起草单位的任务分工见表1。</w:t>
      </w:r>
    </w:p>
    <w:p>
      <w:pPr>
        <w:ind w:firstLine="420" w:firstLineChars="20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表1 </w:t>
      </w:r>
      <w:r>
        <w:rPr>
          <w:rFonts w:hint="eastAsia"/>
        </w:rPr>
        <w:t>起草单位任务分工</w:t>
      </w:r>
    </w:p>
    <w:tbl>
      <w:tblPr>
        <w:tblStyle w:val="8"/>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Layout w:type="autofit"/>
        <w:tblCellMar>
          <w:top w:w="0" w:type="dxa"/>
          <w:left w:w="108" w:type="dxa"/>
          <w:bottom w:w="0" w:type="dxa"/>
          <w:right w:w="108" w:type="dxa"/>
        </w:tblCellMar>
      </w:tblPr>
      <w:tblGrid>
        <w:gridCol w:w="688"/>
        <w:gridCol w:w="3431"/>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3431" w:type="dxa"/>
            <w:shd w:val="clear" w:color="000000" w:fill="auto"/>
            <w:vAlign w:val="center"/>
          </w:tcPr>
          <w:p>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单位</w:t>
            </w:r>
          </w:p>
        </w:tc>
        <w:tc>
          <w:tcPr>
            <w:tcW w:w="4384" w:type="dxa"/>
            <w:shd w:val="clear" w:color="000000" w:fill="auto"/>
            <w:vAlign w:val="center"/>
          </w:tcPr>
          <w:p>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ascii="宋体" w:hAnsi="宋体" w:eastAsia="宋体" w:cs="宋体"/>
                <w:color w:val="auto"/>
                <w:sz w:val="18"/>
                <w:szCs w:val="18"/>
                <w:highlight w:val="none"/>
              </w:rPr>
            </w:pPr>
            <w:r>
              <w:rPr>
                <w:rFonts w:hint="default" w:ascii="Segoe UI" w:hAnsi="Segoe UI" w:eastAsia="Segoe UI" w:cs="Segoe UI"/>
                <w:i w:val="0"/>
                <w:iCs w:val="0"/>
                <w:color w:val="171A1D"/>
                <w:kern w:val="0"/>
                <w:sz w:val="18"/>
                <w:szCs w:val="18"/>
                <w:u w:val="none"/>
                <w:lang w:val="en-US" w:eastAsia="zh-CN" w:bidi="ar"/>
              </w:rPr>
              <w:t>中国物流与采购联合会</w:t>
            </w:r>
          </w:p>
        </w:tc>
        <w:tc>
          <w:tcPr>
            <w:tcW w:w="4384" w:type="dxa"/>
            <w:shd w:val="clear" w:color="000000" w:fill="auto"/>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标准主归口单位，参与各组词条讨论，负责标准的汇总、初审，提出标准编写的建议，负责标准的质量把关。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eastAsia="宋体" w:cs="Times New Roman"/>
                <w:color w:val="auto"/>
                <w:sz w:val="18"/>
                <w:szCs w:val="18"/>
                <w:highlight w:val="none"/>
              </w:rPr>
            </w:pPr>
            <w:r>
              <w:rPr>
                <w:rFonts w:hint="default" w:ascii="Segoe UI" w:hAnsi="Segoe UI" w:eastAsia="Segoe UI" w:cs="Segoe UI"/>
                <w:i w:val="0"/>
                <w:iCs w:val="0"/>
                <w:color w:val="171A1D"/>
                <w:kern w:val="0"/>
                <w:sz w:val="18"/>
                <w:szCs w:val="18"/>
                <w:u w:val="none"/>
                <w:lang w:val="en-US" w:eastAsia="zh-CN" w:bidi="ar"/>
              </w:rPr>
              <w:t>国药集团医药物流有限公司</w:t>
            </w:r>
          </w:p>
        </w:tc>
        <w:tc>
          <w:tcPr>
            <w:tcW w:w="4384" w:type="dxa"/>
            <w:shd w:val="clear" w:color="000000" w:fill="auto"/>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标准主编写，负责标准内容的完善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eastAsia="宋体" w:cs="Times New Roman"/>
                <w:color w:val="auto"/>
                <w:sz w:val="18"/>
                <w:szCs w:val="18"/>
                <w:highlight w:val="none"/>
              </w:rPr>
            </w:pPr>
            <w:r>
              <w:rPr>
                <w:rFonts w:hint="eastAsia" w:ascii="宋体" w:hAnsi="宋体" w:eastAsia="宋体" w:cs="宋体"/>
                <w:i w:val="0"/>
                <w:iCs w:val="0"/>
                <w:color w:val="171A1D"/>
                <w:kern w:val="0"/>
                <w:sz w:val="18"/>
                <w:szCs w:val="18"/>
                <w:u w:val="none"/>
                <w:lang w:val="en-US" w:eastAsia="zh-CN" w:bidi="ar"/>
              </w:rPr>
              <w:t>中铁快运股份有限公司</w:t>
            </w:r>
          </w:p>
        </w:tc>
        <w:tc>
          <w:tcPr>
            <w:tcW w:w="4384" w:type="dxa"/>
            <w:shd w:val="clear" w:color="000000"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eastAsia="宋体" w:cs="Times New Roman"/>
                <w:color w:val="auto"/>
                <w:sz w:val="18"/>
                <w:szCs w:val="18"/>
                <w:highlight w:val="none"/>
              </w:rPr>
            </w:pPr>
            <w:r>
              <w:rPr>
                <w:rFonts w:hint="default" w:ascii="Segoe UI" w:hAnsi="Segoe UI" w:eastAsia="Segoe UI" w:cs="Segoe UI"/>
                <w:i w:val="0"/>
                <w:iCs w:val="0"/>
                <w:color w:val="171A1D"/>
                <w:kern w:val="0"/>
                <w:sz w:val="18"/>
                <w:szCs w:val="18"/>
                <w:u w:val="none"/>
                <w:lang w:val="en-US" w:eastAsia="zh-CN" w:bidi="ar"/>
              </w:rPr>
              <w:t>礼来贸易有限公司</w:t>
            </w:r>
          </w:p>
        </w:tc>
        <w:tc>
          <w:tcPr>
            <w:tcW w:w="4384" w:type="dxa"/>
            <w:shd w:val="clear" w:color="000000"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eastAsia="宋体" w:cs="Times New Roman"/>
                <w:color w:val="auto"/>
                <w:sz w:val="18"/>
                <w:szCs w:val="18"/>
                <w:highlight w:val="none"/>
              </w:rPr>
            </w:pPr>
            <w:r>
              <w:rPr>
                <w:rFonts w:hint="eastAsia" w:ascii="宋体" w:hAnsi="宋体" w:eastAsia="宋体" w:cs="宋体"/>
                <w:i w:val="0"/>
                <w:iCs w:val="0"/>
                <w:color w:val="171A1D"/>
                <w:kern w:val="0"/>
                <w:sz w:val="18"/>
                <w:szCs w:val="18"/>
                <w:u w:val="none"/>
                <w:lang w:val="en-US" w:eastAsia="zh-CN" w:bidi="ar"/>
              </w:rPr>
              <w:t>福建新大陆自动识别技术有限公司</w:t>
            </w:r>
          </w:p>
        </w:tc>
        <w:tc>
          <w:tcPr>
            <w:tcW w:w="4384" w:type="dxa"/>
            <w:shd w:val="clear" w:color="000000" w:fill="auto"/>
            <w:vAlign w:val="center"/>
          </w:tcPr>
          <w:p>
            <w:p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eastAsia="宋体" w:cs="Times New Roman"/>
                <w:color w:val="auto"/>
                <w:kern w:val="2"/>
                <w:sz w:val="18"/>
                <w:szCs w:val="18"/>
                <w:highlight w:val="none"/>
                <w:lang w:val="en-US" w:eastAsia="zh-CN" w:bidi="ar-SA"/>
              </w:rPr>
            </w:pPr>
            <w:r>
              <w:rPr>
                <w:rFonts w:hint="default" w:ascii="Segoe UI" w:hAnsi="Segoe UI" w:eastAsia="Segoe UI" w:cs="Segoe UI"/>
                <w:i w:val="0"/>
                <w:iCs w:val="0"/>
                <w:color w:val="171A1D"/>
                <w:kern w:val="0"/>
                <w:sz w:val="18"/>
                <w:szCs w:val="18"/>
                <w:u w:val="none"/>
                <w:lang w:val="en-US" w:eastAsia="zh-CN" w:bidi="ar"/>
              </w:rPr>
              <w:t>北京科兴生物制品有限公司</w:t>
            </w:r>
          </w:p>
        </w:tc>
        <w:tc>
          <w:tcPr>
            <w:tcW w:w="4384" w:type="dxa"/>
            <w:shd w:val="clear" w:color="000000" w:fill="auto"/>
            <w:vAlign w:val="center"/>
          </w:tcPr>
          <w:p>
            <w:pPr>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eastAsia="宋体" w:cs="Times New Roman"/>
                <w:color w:val="auto"/>
                <w:kern w:val="2"/>
                <w:sz w:val="18"/>
                <w:szCs w:val="18"/>
                <w:highlight w:val="none"/>
                <w:lang w:val="en-US" w:eastAsia="zh-CN" w:bidi="ar-SA"/>
              </w:rPr>
            </w:pPr>
            <w:r>
              <w:rPr>
                <w:rFonts w:hint="default" w:ascii="Segoe UI" w:hAnsi="Segoe UI" w:eastAsia="Segoe UI" w:cs="Segoe UI"/>
                <w:i w:val="0"/>
                <w:iCs w:val="0"/>
                <w:color w:val="171A1D"/>
                <w:kern w:val="0"/>
                <w:sz w:val="18"/>
                <w:szCs w:val="18"/>
                <w:u w:val="none"/>
                <w:lang w:val="en-US" w:eastAsia="zh-CN" w:bidi="ar"/>
              </w:rPr>
              <w:t>拜耳医药保健有限公司</w:t>
            </w:r>
          </w:p>
        </w:tc>
        <w:tc>
          <w:tcPr>
            <w:tcW w:w="4384" w:type="dxa"/>
            <w:shd w:val="clear" w:color="000000"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default" w:ascii="宋体" w:hAnsi="宋体"/>
                <w:color w:val="auto"/>
                <w:sz w:val="18"/>
                <w:szCs w:val="18"/>
                <w:highlight w:val="none"/>
                <w:lang w:val="en-US" w:eastAsia="zh-CN"/>
              </w:rPr>
            </w:pPr>
            <w:r>
              <w:rPr>
                <w:rFonts w:hint="eastAsia" w:ascii="宋体" w:hAnsi="宋体" w:eastAsia="宋体" w:cs="宋体"/>
                <w:i w:val="0"/>
                <w:iCs w:val="0"/>
                <w:color w:val="171A1D"/>
                <w:kern w:val="0"/>
                <w:sz w:val="18"/>
                <w:szCs w:val="18"/>
                <w:u w:val="none"/>
                <w:lang w:val="en-US" w:eastAsia="zh-CN" w:bidi="ar"/>
              </w:rPr>
              <w:t>广州金域医学检验集团股份有限公司</w:t>
            </w:r>
          </w:p>
        </w:tc>
        <w:tc>
          <w:tcPr>
            <w:tcW w:w="4384" w:type="dxa"/>
            <w:shd w:val="clear" w:color="000000"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eastAsia="宋体" w:cs="宋体"/>
                <w:i w:val="0"/>
                <w:iCs w:val="0"/>
                <w:color w:val="171A1D"/>
                <w:kern w:val="0"/>
                <w:sz w:val="18"/>
                <w:szCs w:val="18"/>
                <w:u w:val="none"/>
                <w:lang w:val="en-US" w:eastAsia="zh-CN" w:bidi="ar"/>
              </w:rPr>
              <w:t>浙江英特物流有限公司</w:t>
            </w:r>
          </w:p>
        </w:tc>
        <w:tc>
          <w:tcPr>
            <w:tcW w:w="4384" w:type="dxa"/>
            <w:shd w:val="clear" w:color="000000"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default" w:ascii="宋体" w:hAnsi="宋体" w:eastAsia="宋体" w:cs="Times New Roman"/>
                <w:color w:val="auto"/>
                <w:sz w:val="18"/>
                <w:szCs w:val="18"/>
                <w:highlight w:val="none"/>
                <w:lang w:val="en-US" w:eastAsia="zh-CN"/>
              </w:rPr>
            </w:pPr>
            <w:r>
              <w:rPr>
                <w:rFonts w:hint="eastAsia" w:ascii="宋体" w:hAnsi="宋体" w:eastAsia="宋体" w:cs="宋体"/>
                <w:i w:val="0"/>
                <w:iCs w:val="0"/>
                <w:color w:val="171A1D"/>
                <w:kern w:val="0"/>
                <w:sz w:val="18"/>
                <w:szCs w:val="18"/>
                <w:u w:val="none"/>
                <w:lang w:val="en-US" w:eastAsia="zh-CN" w:bidi="ar"/>
              </w:rPr>
              <w:t>浙江锦宇汽车制造有限公司</w:t>
            </w:r>
          </w:p>
        </w:tc>
        <w:tc>
          <w:tcPr>
            <w:tcW w:w="4384" w:type="dxa"/>
            <w:shd w:val="clear" w:color="000000"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丽珠医药集团股份有限公司</w:t>
            </w:r>
          </w:p>
        </w:tc>
        <w:tc>
          <w:tcPr>
            <w:tcW w:w="4384" w:type="dxa"/>
            <w:shd w:val="clear" w:color="000000"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上海罗氏制药有限公司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山东齐鲁制药集团有限公司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四川科伦药业股份有限公司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上药控股有限公司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华润医药商业集团有限公司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九州通医药集团物流有限公司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广州医药股份有限公司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南京医药股份有限公司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创美药业股份有限公司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上药科园信海医药有限公司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国药物流有限责任公司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青岛百洋医药股份有限公司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江苏省医药有限公司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安徽天星医药集团有限公司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广东通用医药有限公司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湖南医药集团有限公司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湖南达嘉维康医药有限公司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江西五洲医药营销有限公司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河南省医药有限公司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湖南天润生物医药有限责任公司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吉祥水（山东）医药物流有限公司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顺丰医药供应链有限公司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北京盛世华人供应链管理有限公司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上海康展物流有限公司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上海生生物流有限公司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山东大舜医药物流有限公司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北京映急物流有限公司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上海腾翼搏时国际货运代理股份有限公司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中国邮政速递物流股份有限公司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成都易速物流有限公司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中健云康（广州）物流供应链有限公司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浙江迪安深海冷链物流有限公司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广州金域达物流有限公司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山东健安药运供应链有限公司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上海开利运输冷气设备有限公司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湖北凯乐仕通达科技有限公司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纯钧新材料（深圳）有限公司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青岛海尔生物医疗股份有限公司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芯箱联科技（深圳）有限公司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理工亘舒（广东）科技有限公司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深圳市森若新材科技有限公司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88" w:type="dxa"/>
            <w:shd w:val="clear" w:color="000000"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ind w:left="0" w:firstLine="200" w:firstLineChars="100"/>
              <w:jc w:val="left"/>
              <w:textAlignment w:val="auto"/>
              <w:rPr>
                <w:rFonts w:ascii="宋体" w:hAnsi="宋体" w:eastAsia="宋体" w:cs="宋体"/>
                <w:color w:val="auto"/>
                <w:sz w:val="20"/>
                <w:szCs w:val="20"/>
                <w:highlight w:val="none"/>
              </w:rPr>
            </w:pPr>
          </w:p>
        </w:tc>
        <w:tc>
          <w:tcPr>
            <w:tcW w:w="3431"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default" w:ascii="Segoe UI" w:hAnsi="Segoe UI" w:eastAsia="Segoe UI" w:cs="Segoe UI"/>
                <w:i w:val="0"/>
                <w:iCs w:val="0"/>
                <w:color w:val="171A1D"/>
                <w:kern w:val="0"/>
                <w:sz w:val="18"/>
                <w:szCs w:val="18"/>
                <w:u w:val="none"/>
                <w:lang w:val="en-US" w:eastAsia="zh-CN" w:bidi="ar"/>
              </w:rPr>
              <w:t>北京旷视机器人技术有限公司</w:t>
            </w:r>
          </w:p>
        </w:tc>
        <w:tc>
          <w:tcPr>
            <w:tcW w:w="4384" w:type="dxa"/>
            <w:shd w:val="clear" w:color="000000"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参与小组的研讨、提供相关的数据</w:t>
            </w:r>
          </w:p>
        </w:tc>
      </w:tr>
    </w:tbl>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2、2022年4月26日，《药品物流服务规范》国家标准启动会通过线上线下</w:t>
      </w:r>
      <w:r>
        <w:rPr>
          <w:rFonts w:hint="eastAsia" w:ascii="宋体" w:hAnsi="宋体" w:eastAsia="宋体" w:cs="宋体"/>
          <w:sz w:val="28"/>
          <w:szCs w:val="28"/>
          <w:lang w:val="en-US" w:eastAsia="zh-CN"/>
        </w:rPr>
        <w:t>结合</w:t>
      </w:r>
      <w:r>
        <w:rPr>
          <w:rFonts w:hint="eastAsia" w:ascii="宋体" w:hAnsi="宋体" w:eastAsia="宋体" w:cs="宋体"/>
          <w:sz w:val="28"/>
          <w:szCs w:val="28"/>
        </w:rPr>
        <w:t>的方式召开。会议上</w:t>
      </w:r>
      <w:r>
        <w:rPr>
          <w:rFonts w:hint="eastAsia" w:ascii="宋体" w:hAnsi="宋体" w:eastAsia="宋体" w:cs="宋体"/>
          <w:sz w:val="28"/>
          <w:szCs w:val="28"/>
          <w:lang w:val="en-US" w:eastAsia="zh-CN"/>
        </w:rPr>
        <w:t>各</w:t>
      </w:r>
      <w:r>
        <w:rPr>
          <w:rFonts w:hint="eastAsia" w:ascii="宋体" w:hAnsi="宋体" w:eastAsia="宋体" w:cs="宋体"/>
          <w:sz w:val="28"/>
          <w:szCs w:val="28"/>
        </w:rPr>
        <w:t>起草单位代表对该标准的范围、框架等内容进行了讨论，提出了诸多建设性的意见，会议的最后明确了标准制定的工作进度计划及任务分工。</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3、2022年8月3日，《药品物流服务规范》国家标准研讨会在重庆召开。会上参会代表（名单见附件）对标准的内容进行了热烈的讨论，对是储存养护、运输配送、以及信息管理方面等内容都给出了修订建议。</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五、标准编制原则</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为了做好本次标准制定工作，项目组遵循以下原则：</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1、指导性</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药品</w:t>
      </w:r>
      <w:r>
        <w:rPr>
          <w:rFonts w:hint="eastAsia" w:ascii="宋体" w:hAnsi="宋体" w:eastAsia="宋体" w:cs="宋体"/>
          <w:color w:val="000000" w:themeColor="text1"/>
          <w:sz w:val="28"/>
          <w:szCs w:val="28"/>
          <w:lang w:val="en-US" w:eastAsia="zh-CN"/>
          <w14:textFill>
            <w14:solidFill>
              <w14:schemeClr w14:val="tx1"/>
            </w14:solidFill>
          </w14:textFill>
        </w:rPr>
        <w:t>物流</w:t>
      </w:r>
      <w:r>
        <w:rPr>
          <w:rFonts w:hint="eastAsia" w:ascii="宋体" w:hAnsi="宋体" w:eastAsia="宋体" w:cs="宋体"/>
          <w:color w:val="000000" w:themeColor="text1"/>
          <w:sz w:val="28"/>
          <w:szCs w:val="28"/>
          <w14:textFill>
            <w14:solidFill>
              <w14:schemeClr w14:val="tx1"/>
            </w14:solidFill>
          </w14:textFill>
        </w:rPr>
        <w:t>关联着药品的质量，而药品的质量影响着民众的安全，所以</w:t>
      </w:r>
      <w:r>
        <w:rPr>
          <w:rFonts w:hint="eastAsia" w:ascii="宋体" w:hAnsi="宋体" w:eastAsia="宋体" w:cs="宋体"/>
          <w:color w:val="000000" w:themeColor="text1"/>
          <w:sz w:val="28"/>
          <w:szCs w:val="28"/>
          <w:highlight w:val="none"/>
          <w14:textFill>
            <w14:solidFill>
              <w14:schemeClr w14:val="tx1"/>
            </w14:solidFill>
          </w14:textFill>
        </w:rPr>
        <w:t>药品</w:t>
      </w:r>
      <w:r>
        <w:rPr>
          <w:rFonts w:hint="eastAsia" w:ascii="宋体" w:hAnsi="宋体" w:eastAsia="宋体" w:cs="宋体"/>
          <w:color w:val="000000" w:themeColor="text1"/>
          <w:sz w:val="28"/>
          <w:szCs w:val="28"/>
          <w:highlight w:val="none"/>
          <w:lang w:val="en-US" w:eastAsia="zh-CN"/>
          <w14:textFill>
            <w14:solidFill>
              <w14:schemeClr w14:val="tx1"/>
            </w14:solidFill>
          </w14:textFill>
        </w:rPr>
        <w:t>物流</w:t>
      </w:r>
      <w:r>
        <w:rPr>
          <w:rFonts w:hint="eastAsia" w:ascii="宋体" w:hAnsi="宋体" w:eastAsia="宋体" w:cs="宋体"/>
          <w:color w:val="000000" w:themeColor="text1"/>
          <w:sz w:val="28"/>
          <w:szCs w:val="28"/>
          <w:highlight w:val="none"/>
          <w14:textFill>
            <w14:solidFill>
              <w14:schemeClr w14:val="tx1"/>
            </w14:solidFill>
          </w14:textFill>
        </w:rPr>
        <w:t>企业在药品</w:t>
      </w:r>
      <w:r>
        <w:rPr>
          <w:rFonts w:hint="eastAsia" w:ascii="宋体" w:hAnsi="宋体" w:eastAsia="宋体" w:cs="宋体"/>
          <w:color w:val="000000" w:themeColor="text1"/>
          <w:sz w:val="28"/>
          <w:szCs w:val="28"/>
          <w14:textFill>
            <w14:solidFill>
              <w14:schemeClr w14:val="tx1"/>
            </w14:solidFill>
          </w14:textFill>
        </w:rPr>
        <w:t>流通过程中承担着重要的社会责任。本标准的内容可指导药品物流企业在仓储、运输、信息服务、风险控制、服务评价等方面的管理与操作，确保药品在物流环节中的质量安全。</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适用</w:t>
      </w:r>
      <w:r>
        <w:rPr>
          <w:rFonts w:hint="eastAsia" w:ascii="宋体" w:hAnsi="宋体" w:eastAsia="宋体" w:cs="宋体"/>
          <w:color w:val="000000" w:themeColor="text1"/>
          <w:sz w:val="28"/>
          <w:szCs w:val="28"/>
          <w14:textFill>
            <w14:solidFill>
              <w14:schemeClr w14:val="tx1"/>
            </w14:solidFill>
          </w14:textFill>
        </w:rPr>
        <w:t>性</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本标准适用于药品流通过程中的药品物流服务，药品生产过程中涉及的药品物流服务可参照执行。</w:t>
      </w:r>
      <w:r>
        <w:rPr>
          <w:rFonts w:hint="eastAsia" w:ascii="宋体" w:hAnsi="宋体" w:eastAsia="宋体" w:cs="宋体"/>
          <w:color w:val="000000" w:themeColor="text1"/>
          <w:sz w:val="28"/>
          <w:szCs w:val="28"/>
          <w:lang w:val="en-US" w:eastAsia="zh-CN"/>
          <w14:textFill>
            <w14:solidFill>
              <w14:schemeClr w14:val="tx1"/>
            </w14:solidFill>
          </w14:textFill>
        </w:rPr>
        <w:t>该标准与现行的法律法规相互协调，且规定的条款适用我国目前行业发展的现状，对企业的物流实操具有参考价值、在行业内</w:t>
      </w:r>
      <w:r>
        <w:rPr>
          <w:rFonts w:hint="eastAsia" w:ascii="宋体" w:hAnsi="宋体" w:eastAsia="宋体" w:cs="宋体"/>
          <w:color w:val="000000" w:themeColor="text1"/>
          <w:sz w:val="28"/>
          <w:szCs w:val="28"/>
          <w14:textFill>
            <w14:solidFill>
              <w14:schemeClr w14:val="tx1"/>
            </w14:solidFill>
          </w14:textFill>
        </w:rPr>
        <w:t>具有普遍适用性。</w:t>
      </w:r>
    </w:p>
    <w:p>
      <w:pPr>
        <w:numPr>
          <w:ilvl w:val="0"/>
          <w:numId w:val="6"/>
        </w:numPr>
        <w:ind w:firstLine="560" w:firstLineChars="20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标准主要内容</w:t>
      </w:r>
    </w:p>
    <w:p>
      <w:pPr>
        <w:numPr>
          <w:ilvl w:val="0"/>
          <w:numId w:val="7"/>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修订内容及依据</w:t>
      </w:r>
    </w:p>
    <w:p>
      <w:pPr>
        <w:numPr>
          <w:ilvl w:val="-1"/>
          <w:numId w:val="0"/>
        </w:numPr>
        <w:ind w:firstLine="560" w:firstLine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具体修订内容及依据见表2：</w:t>
      </w:r>
    </w:p>
    <w:p>
      <w:pPr>
        <w:numPr>
          <w:ilvl w:val="-1"/>
          <w:numId w:val="0"/>
        </w:numPr>
        <w:ind w:firstLine="56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表2 </w:t>
      </w:r>
      <w:r>
        <w:rPr>
          <w:rFonts w:hint="eastAsia"/>
          <w:lang w:eastAsia="zh-CN"/>
        </w:rPr>
        <w:t>标准修改内容及依据</w:t>
      </w:r>
    </w:p>
    <w:tbl>
      <w:tblPr>
        <w:tblStyle w:val="9"/>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10"/>
        <w:gridCol w:w="2908"/>
        <w:gridCol w:w="2917"/>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原标准编号</w:t>
            </w:r>
          </w:p>
        </w:tc>
        <w:tc>
          <w:tcPr>
            <w:tcW w:w="2908"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标准原文</w:t>
            </w:r>
          </w:p>
        </w:tc>
        <w:tc>
          <w:tcPr>
            <w:tcW w:w="2917"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修订后条款</w:t>
            </w:r>
          </w:p>
        </w:tc>
        <w:tc>
          <w:tcPr>
            <w:tcW w:w="2778"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修订依据/理由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w:t>
            </w:r>
          </w:p>
        </w:tc>
        <w:tc>
          <w:tcPr>
            <w:tcW w:w="2908" w:type="dxa"/>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药品物流 drug logistics</w:t>
            </w:r>
          </w:p>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依托相应的物流设施设备、技术和物流管理信息系统，完成对药品运输、收货、验收、储存、分拣、装卸、搬运、包装、配送和信息管理等基本功能的组织与管理。</w:t>
            </w:r>
          </w:p>
        </w:tc>
        <w:tc>
          <w:tcPr>
            <w:tcW w:w="2917"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删除</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 xml:space="preserve">GB/T 18354 </w:t>
            </w:r>
            <w:r>
              <w:rPr>
                <w:rFonts w:hint="eastAsia" w:ascii="宋体" w:hAnsi="宋体" w:eastAsia="宋体" w:cs="宋体"/>
                <w:sz w:val="18"/>
                <w:szCs w:val="18"/>
                <w:highlight w:val="none"/>
                <w:lang w:eastAsia="zh-CN"/>
              </w:rPr>
              <w:t>《物流术语》</w:t>
            </w:r>
            <w:r>
              <w:rPr>
                <w:rFonts w:hint="eastAsia" w:ascii="宋体" w:hAnsi="宋体" w:eastAsia="宋体" w:cs="宋体"/>
                <w:sz w:val="18"/>
                <w:szCs w:val="18"/>
                <w:highlight w:val="none"/>
              </w:rPr>
              <w:t>、GB/T 28842</w:t>
            </w:r>
            <w:r>
              <w:rPr>
                <w:rFonts w:hint="eastAsia" w:ascii="宋体" w:hAnsi="宋体" w:eastAsia="宋体" w:cs="宋体"/>
                <w:sz w:val="18"/>
                <w:szCs w:val="18"/>
                <w:highlight w:val="none"/>
                <w:lang w:eastAsia="zh-CN"/>
              </w:rPr>
              <w:t>《药品冷链物流运作规范》</w:t>
            </w:r>
            <w:r>
              <w:rPr>
                <w:rFonts w:hint="eastAsia" w:ascii="宋体" w:hAnsi="宋体" w:eastAsia="宋体" w:cs="宋体"/>
                <w:sz w:val="18"/>
                <w:szCs w:val="18"/>
                <w:highlight w:val="none"/>
                <w:lang w:val="en-US" w:eastAsia="zh-CN"/>
              </w:rPr>
              <w:t>国家标准界定的术语适用于本文件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w:t>
            </w:r>
          </w:p>
        </w:tc>
        <w:tc>
          <w:tcPr>
            <w:tcW w:w="2908" w:type="dxa"/>
            <w:vAlign w:val="center"/>
          </w:tcPr>
          <w:p>
            <w:pPr>
              <w:pStyle w:val="2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应具有与所从事的药品物流服务相适应的组织机构和岗位人员</w:t>
            </w:r>
          </w:p>
        </w:tc>
        <w:tc>
          <w:tcPr>
            <w:tcW w:w="2917"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4.1从事药品物流服务企业应配备与经营规模、范围相适应的组织机构和岗位人员，并建立相应的质量管理体系。</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参考了GB/T 28842《药品冷链物流运作规范》国家标准4.4条“应制定药品冷链物流质量管理体系文件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w:t>
            </w:r>
          </w:p>
        </w:tc>
        <w:tc>
          <w:tcPr>
            <w:tcW w:w="2908" w:type="dxa"/>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lef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应具有与物流服务相适应的运输、仓储、设施设备，需要温控的药品物流应具备相应的温控设施设备；应具有相应的物流管理信息系统。</w:t>
            </w:r>
          </w:p>
        </w:tc>
        <w:tc>
          <w:tcPr>
            <w:tcW w:w="2917"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4.2从事药品物流服务企业应配备相应的运输、仓储等设施设备及信息系统。其中温控设施设备应符合GB/T 28842的要求。</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kern w:val="0"/>
                <w:sz w:val="18"/>
                <w:szCs w:val="18"/>
                <w:highlight w:val="none"/>
                <w:lang w:val="en-US" w:eastAsia="zh-CN" w:bidi="ar-SA"/>
              </w:rPr>
              <w:t>GB/T 28842《药品冷链物流运作规范》国家标准第6章设施设备要求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5.2.1</w:t>
            </w:r>
          </w:p>
        </w:tc>
        <w:tc>
          <w:tcPr>
            <w:tcW w:w="2908" w:type="dxa"/>
            <w:vAlign w:val="center"/>
          </w:tcPr>
          <w:p>
            <w:pPr>
              <w:pStyle w:val="2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rPr>
              <w:t>在符合药品储存要求的场所和规定时限内，应依据订货信息和随货清单，对药品进行逐批验收，做好记录。</w:t>
            </w:r>
          </w:p>
        </w:tc>
        <w:tc>
          <w:tcPr>
            <w:tcW w:w="2917"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5.2.1应在符合药品储存要求的场所和规定时限内，依据订货信息和随货清单，对药品进行逐批收货、验收，验收抽取的样品应当具有代表性，并做好记录。</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参考了《药品经营质量管理规范》第七十七条“企业应当按照验收规定，对每次到货药品进行逐批抽样验收，抽取的样品应当具有代表性”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5.2.2</w:t>
            </w:r>
          </w:p>
        </w:tc>
        <w:tc>
          <w:tcPr>
            <w:tcW w:w="2908" w:type="dxa"/>
            <w:vAlign w:val="center"/>
          </w:tcPr>
          <w:p>
            <w:pPr>
              <w:pStyle w:val="2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冷藏、冷冻药品到货时，应当对其运输方式及运输过程的温度记录、运输时间等质量控制状况进行重点检查并记录；不符合温度要求的应当拒收。</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5.2.2应优先收取需温控的药品，且收货、验收操作应符合GB/T 28842的要求。</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sz w:val="18"/>
                <w:szCs w:val="18"/>
                <w:highlight w:val="none"/>
              </w:rPr>
              <w:t>GB/T 28842《药品冷链物流运作规范》国家标准</w:t>
            </w:r>
            <w:r>
              <w:rPr>
                <w:rFonts w:hint="eastAsia" w:ascii="宋体" w:hAnsi="宋体" w:eastAsia="宋体" w:cs="宋体"/>
                <w:sz w:val="18"/>
                <w:szCs w:val="18"/>
                <w:highlight w:val="none"/>
                <w:lang w:val="en-US" w:eastAsia="zh-CN"/>
              </w:rPr>
              <w:t>8.1“收货、验收”的要求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5.2.3</w:t>
            </w:r>
          </w:p>
        </w:tc>
        <w:tc>
          <w:tcPr>
            <w:tcW w:w="2908" w:type="dxa"/>
            <w:vAlign w:val="center"/>
          </w:tcPr>
          <w:p>
            <w:pPr>
              <w:pStyle w:val="2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rPr>
              <w:t>药品收货验收项目应符合《药品经营质量管理规范》的要求。</w:t>
            </w:r>
          </w:p>
        </w:tc>
        <w:tc>
          <w:tcPr>
            <w:tcW w:w="2917" w:type="dxa"/>
            <w:vAlign w:val="center"/>
          </w:tcPr>
          <w:p>
            <w:pPr>
              <w:pStyle w:val="21"/>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删</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标准中不体现法律法规名称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5.3.1</w:t>
            </w:r>
          </w:p>
        </w:tc>
        <w:tc>
          <w:tcPr>
            <w:tcW w:w="2908" w:type="dxa"/>
            <w:vAlign w:val="center"/>
          </w:tcPr>
          <w:p>
            <w:pPr>
              <w:pStyle w:val="2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rPr>
              <w:t>搬运、装卸药品应轻拿轻放，严格按照药品外包装图示标志的要求码放和采取防护措施。</w:t>
            </w:r>
          </w:p>
        </w:tc>
        <w:tc>
          <w:tcPr>
            <w:tcW w:w="2917"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删</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修改后的标准在第7章装卸搬运有描写，故此删除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5.3.2</w:t>
            </w:r>
          </w:p>
        </w:tc>
        <w:tc>
          <w:tcPr>
            <w:tcW w:w="2908" w:type="dxa"/>
            <w:vAlign w:val="center"/>
          </w:tcPr>
          <w:p>
            <w:pPr>
              <w:pStyle w:val="2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rPr>
              <w:t>药品堆码应实行分区、分类、按批号和货位管理。不同批号的药品不得混垛，药品与非药品、外用药与其他药品应分开存放，中药材和中药饮片与其他药品应分库存放。特殊管理的药品应按国家有关规定存放。</w:t>
            </w:r>
          </w:p>
        </w:tc>
        <w:tc>
          <w:tcPr>
            <w:tcW w:w="291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5.3.1　药品堆码应实行分区、分类、按批号和货位管理，并符合以下要求。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a)应实行分温区存放，包括但不限于常温区、阴凉区、恒温区、冷藏区、冷冻区等。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b)药品与非药品、外用药与其他药品应分开存放，中药材和中药饮片与其他药品应分库存放，拆除外包装的零货药品应当集中存放。特殊管理的药品应依据相关要求存放。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c)不同批号的药品不得混垛。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d)码盘应统一高度，不应超出托盘的长度和宽度。</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参考了《药品经营质量管理规范》第八十三条“</w:t>
            </w:r>
            <w:r>
              <w:rPr>
                <w:rFonts w:hint="eastAsia" w:ascii="宋体" w:hAnsi="宋体" w:eastAsia="宋体" w:cs="宋体"/>
                <w:color w:val="000000"/>
                <w:kern w:val="0"/>
                <w:sz w:val="18"/>
                <w:szCs w:val="18"/>
                <w:highlight w:val="none"/>
                <w:lang w:bidi="ar"/>
              </w:rPr>
              <w:t>企业应当根据药品的质量特性对药品进行合理储存</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sz w:val="18"/>
                <w:szCs w:val="18"/>
                <w:highlight w:val="none"/>
                <w:lang w:val="en-US" w:eastAsia="zh-CN"/>
              </w:rPr>
              <w:t>（九）拆除外包装的零货药品应当集中存放”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2"/>
              <w:keepNext w:val="0"/>
              <w:keepLines w:val="0"/>
              <w:pageBreakBefore w:val="0"/>
              <w:widowControl w:val="0"/>
              <w:numPr>
                <w:ilvl w:val="0"/>
                <w:numId w:val="0"/>
              </w:numPr>
              <w:kinsoku/>
              <w:wordWrap/>
              <w:overflowPunct/>
              <w:topLinePunct w:val="0"/>
              <w:bidi w:val="0"/>
              <w:adjustRightInd/>
              <w:snapToGrid/>
              <w:spacing w:before="0" w:beforeLines="0"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5.3.2未经批准的人员不应进入储存作业区，且进入储存作业区内的人员不应有影响药品质量和安全的行为。</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color w:val="000000"/>
                <w:kern w:val="0"/>
                <w:sz w:val="18"/>
                <w:szCs w:val="18"/>
                <w:highlight w:val="none"/>
                <w:lang w:bidi="ar"/>
              </w:rPr>
              <w:t>参考了《药品经营质量管理规范》第八十三条</w:t>
            </w:r>
            <w:r>
              <w:rPr>
                <w:rFonts w:hint="eastAsia" w:ascii="宋体" w:hAnsi="宋体" w:eastAsia="宋体" w:cs="宋体"/>
                <w:color w:val="000000"/>
                <w:kern w:val="0"/>
                <w:sz w:val="18"/>
                <w:szCs w:val="18"/>
                <w:highlight w:val="none"/>
                <w:lang w:eastAsia="zh-CN" w:bidi="ar"/>
              </w:rPr>
              <w:t>“（十一）未经批准的人员不得进入储存作业区，储存作业区内的人员不得有影响药品质量和安全的行为；”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2"/>
              <w:keepNext w:val="0"/>
              <w:keepLines w:val="0"/>
              <w:pageBreakBefore w:val="0"/>
              <w:widowControl w:val="0"/>
              <w:numPr>
                <w:ilvl w:val="0"/>
                <w:numId w:val="0"/>
              </w:numPr>
              <w:kinsoku/>
              <w:wordWrap/>
              <w:overflowPunct/>
              <w:topLinePunct w:val="0"/>
              <w:bidi w:val="0"/>
              <w:adjustRightInd/>
              <w:snapToGrid/>
              <w:spacing w:before="0" w:beforeLines="0"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5.3.3药品储存期间因破损而导致液体、气体、粉末泄漏时，应迅速采取安全处理措施。</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color w:val="000000"/>
                <w:kern w:val="0"/>
                <w:sz w:val="18"/>
                <w:szCs w:val="18"/>
                <w:highlight w:val="none"/>
                <w:lang w:bidi="ar"/>
              </w:rPr>
              <w:t>参考了《药品经营质量管理规范》</w:t>
            </w:r>
            <w:r>
              <w:rPr>
                <w:rFonts w:hint="eastAsia" w:ascii="宋体" w:hAnsi="宋体" w:eastAsia="宋体" w:cs="宋体"/>
                <w:color w:val="000000"/>
                <w:kern w:val="0"/>
                <w:sz w:val="18"/>
                <w:szCs w:val="18"/>
                <w:highlight w:val="none"/>
                <w:lang w:eastAsia="zh-CN" w:bidi="ar"/>
              </w:rPr>
              <w:t>第八十六条“药品因破损而导致液体、气体、粉末泄漏时，应当迅速采取安全处理措施，防止对储存环境和其他药品造成污染。”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rPr>
            </w:pPr>
            <w:r>
              <w:rPr>
                <w:rFonts w:hint="eastAsia" w:ascii="宋体" w:hAnsi="宋体" w:eastAsia="宋体" w:cs="宋体"/>
                <w:sz w:val="18"/>
                <w:szCs w:val="18"/>
                <w:highlight w:val="none"/>
                <w:lang w:val="en-US" w:eastAsia="zh-CN"/>
              </w:rPr>
              <w:t>5.3.4</w:t>
            </w:r>
          </w:p>
        </w:tc>
        <w:tc>
          <w:tcPr>
            <w:tcW w:w="2908" w:type="dxa"/>
            <w:vAlign w:val="center"/>
          </w:tcPr>
          <w:p>
            <w:pPr>
              <w:pStyle w:val="22"/>
              <w:keepNext w:val="0"/>
              <w:keepLines w:val="0"/>
              <w:pageBreakBefore w:val="0"/>
              <w:widowControl w:val="0"/>
              <w:numPr>
                <w:ilvl w:val="0"/>
                <w:numId w:val="0"/>
              </w:numPr>
              <w:kinsoku/>
              <w:wordWrap/>
              <w:overflowPunct/>
              <w:topLinePunct w:val="0"/>
              <w:bidi w:val="0"/>
              <w:adjustRightInd/>
              <w:snapToGrid/>
              <w:spacing w:before="0" w:beforeLines="0"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在人工作业的库房储存药品，按质量状态实行色标管理：合格药品为绿色，不合格药品为红色，待确定药品为黄色。</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5.3.5应按照药品的质量状态实行色标管理，待确定药品应按照其储存的温湿度要求存放在相应库区。</w:t>
            </w:r>
          </w:p>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示例：色标管理如待验区为黄色、退货区为黄色、合格品区为绿色、发货区为绿色、不合格品区为红色。</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color w:val="000000"/>
                <w:kern w:val="0"/>
                <w:sz w:val="18"/>
                <w:szCs w:val="18"/>
                <w:highlight w:val="none"/>
                <w:lang w:bidi="ar"/>
              </w:rPr>
              <w:t>参考了《药品经营质量管理规范》第八十三条</w:t>
            </w:r>
            <w:r>
              <w:rPr>
                <w:rFonts w:hint="eastAsia" w:ascii="宋体" w:hAnsi="宋体" w:eastAsia="宋体" w:cs="宋体"/>
                <w:color w:val="000000"/>
                <w:kern w:val="0"/>
                <w:sz w:val="18"/>
                <w:szCs w:val="18"/>
                <w:highlight w:val="none"/>
                <w:lang w:eastAsia="zh-CN" w:bidi="ar"/>
              </w:rPr>
              <w:t>“（三）在人工作业的库房储存药品，按质量状态实行色标管理，合格药品为绿色，不合格药品为红色，待确定药品为黄色；”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5.3.5</w:t>
            </w:r>
          </w:p>
        </w:tc>
        <w:tc>
          <w:tcPr>
            <w:tcW w:w="2908" w:type="dxa"/>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储存药品应当按照要求采取避光、遮光、通风、防潮、防虫、防鼠等措施。</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5.3.6储存药品时，应按照要求采取避光、遮光、通风、防潮、防虫、防鼠、除尘等措施。库房人员应该定期检查设备设施的运行情况，发现问题应该及时采取纠正预防措施。</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color w:val="000000"/>
                <w:kern w:val="0"/>
                <w:sz w:val="18"/>
                <w:szCs w:val="18"/>
                <w:highlight w:val="none"/>
                <w:lang w:bidi="ar"/>
              </w:rPr>
              <w:t>参考了《药品经营质量管理规范》第八十三条</w:t>
            </w:r>
            <w:r>
              <w:rPr>
                <w:rFonts w:hint="eastAsia" w:ascii="宋体" w:hAnsi="宋体" w:eastAsia="宋体" w:cs="宋体"/>
                <w:color w:val="000000"/>
                <w:kern w:val="0"/>
                <w:sz w:val="18"/>
                <w:szCs w:val="18"/>
                <w:highlight w:val="none"/>
                <w:lang w:eastAsia="zh-CN" w:bidi="ar"/>
              </w:rPr>
              <w:t>“（四）储存药品应当按照要求采取避光、遮光、通风、防潮、防虫、防鼠等措施；”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5.3.8</w:t>
            </w:r>
          </w:p>
        </w:tc>
        <w:tc>
          <w:tcPr>
            <w:tcW w:w="2908" w:type="dxa"/>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药品丢失或损坏时，应及时查找原因、分清责任，制定预防措施并及时处理赔偿等事项。</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5.3.9药品丢失或损坏时，应及时查找原因、分清责任，制定预防措施并及时处理赔偿等事项。特殊管理的药品发生被盗、被抢、丢失时，应立即报告当地公安机关，并通知相关单位及时进行处理。</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sz w:val="18"/>
                <w:szCs w:val="18"/>
                <w:highlight w:val="none"/>
                <w:lang w:val="en-US" w:eastAsia="zh-CN"/>
              </w:rPr>
              <w:t>第一百一十一条“企业应当采取运输安全管理措施，防止在运输过程中发生药品盗抢、遗失、调换等事故。”、还参考了《麻醉药品和精神药品管理条例》第六十四条“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5.4.1</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药品出库时应对实物进行复核，发现异常情况不得出库，做好记录、查明原因，并及时调整满足委托方及相关客户需求。</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5.4.1药品出库时应对药品，以及承运商备案的车辆信息进行复核，发现异常情况不得出库，做好记录、查明原因，并及时反馈委托方调整相关客户需求。</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现在行业委外的情况比较普遍，根据研讨会确认要增加此部分内容。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5.4.2</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药品出库时，应当附加盖企业药品出库专用章原印章的随货同行单（票），以及加盖质量管理专用章原印章的药品质量检验报告或复印件。</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5.4.2药品出库时，应附加盖企业药品出库专用章原印章或电子印章的随货同行单（票），以及加盖质量管理专用章原印章或电子印章的药品质量检验报告。进口药品应提供加盖质量管理专用章原印章或电子印章进口产品注册证、质量管理专用章原印章或电子印章进口检验报告书或通关单。生物制品还需提供加盖供货单位药品检验专用章或质量管理专用章原印章或电子印章的《生物制品批签发合格证》。</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现在行业使用电子印章的情况已经比较普遍，所以此部分内容，根据行业实际情况制定</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此外本条还参考了</w:t>
            </w:r>
            <w:r>
              <w:rPr>
                <w:rFonts w:hint="eastAsia" w:ascii="宋体" w:hAnsi="宋体" w:eastAsia="宋体" w:cs="宋体"/>
                <w:sz w:val="18"/>
                <w:szCs w:val="18"/>
                <w:highlight w:val="none"/>
              </w:rPr>
              <w:t>《药品经营质量管理规范》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5.4.3</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rPr>
              <w:t>药品拆零拼箱发货时，物流包装箱应有醒目的拼箱标志</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5.4.3药品拆零拼箱发货时，药品拼箱发货的代用包装箱应当有醒目的拼箱标志，并在箱中填塞填充物，且填充物不应对药品有污染。</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本条主要参考《药品经营质量管理规范》第九十七条“ 药品拼箱发货的代用包装箱应当有醒目的拼箱标志。”第一百六十九条“拆零的工作台及工具保持清洁、卫生，防止交叉污染”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bookmarkStart w:id="0" w:name="_GoBack"/>
            <w:bookmarkEnd w:id="0"/>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5.6.3　对不合格药品应当查明并分析原因，及时采取预防措施。</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sz w:val="18"/>
                <w:szCs w:val="18"/>
                <w:highlight w:val="none"/>
                <w:lang w:val="en-US" w:eastAsia="zh-CN"/>
              </w:rPr>
              <w:t>第八十七条“对不合格药品应当查明并分析原因，及时采取预防措施”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5.6.4对不合格药品的处理过程应当有完整的流程和记录。</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eastAsia="zh-CN" w:bidi="ar"/>
              </w:rPr>
              <w:t>第一百三十九条“企业应当建立药品采购、验收、销售、陈列检查、温湿度监测、不合格药品处理等相关记录，做到真实、完整、准确、有效和可追溯。”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5.7.1</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根据委托方要求，应准确、完整地向委托方提供药品入库、出库及在库数据，并及时通报各种意外事件的相关信息。</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5.7.1根据委托方要求，应准确、完整地向委托方提供药品入库、出库及在库数据，数据应真实、完整、有效。</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val="en-US" w:eastAsia="zh-CN" w:bidi="ar"/>
              </w:rPr>
              <w:t>第十七条“（十七）组织对被委托运输的承运方运输条件和质量保障能力的审查；”、</w:t>
            </w:r>
            <w:r>
              <w:rPr>
                <w:rFonts w:hint="eastAsia" w:ascii="宋体" w:hAnsi="宋体" w:eastAsia="宋体" w:cs="宋体"/>
                <w:color w:val="000000"/>
                <w:kern w:val="0"/>
                <w:sz w:val="18"/>
                <w:szCs w:val="18"/>
                <w:highlight w:val="none"/>
                <w:lang w:eastAsia="zh-CN" w:bidi="ar"/>
              </w:rPr>
              <w:t>第一百四十一条“通过计算机系统记录数据时，相关岗位人员应当按照操作规程，通过授权及密码登录计算机系统，进行数据的录入，保证数据原始、真实、准确、安全和可追溯。”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5.7.3</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药品单据应保存至超过药品有效期一年，但不得少于五年。</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5.7.3药品单据保存期限应不少于5年。特殊管理的药品单据保存期限应依据相关要求进行保存。</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kern w:val="0"/>
                <w:sz w:val="18"/>
                <w:szCs w:val="18"/>
                <w:highlight w:val="none"/>
                <w:lang w:val="en-US" w:eastAsia="zh-CN" w:bidi="ar-SA"/>
              </w:rPr>
              <w:t>GB/T 28842《药品冷链物流运作规范》国家标准4.7“药品冷链物流作业过程中的各类原始记录和凭证应至少保存5年，纸质记录应清晰可见，防止褪色，电子数据和记录应做异地备份”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药品仓库环境温湿度的控制</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删除</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6.2</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有温控要求的药品运输与配送，应符合GB/T 28842的相关规定。药品运输与配送有其他特殊要求的，应符合相关规定</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6.2需温控药品运输与配送时，应符合GB/T 28842的相关规定。特殊药品运输与配送要求见《麻醉药品和精神药品运输管理办法》</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kern w:val="0"/>
                <w:sz w:val="18"/>
                <w:szCs w:val="18"/>
                <w:highlight w:val="none"/>
                <w:lang w:val="en-US" w:eastAsia="zh-CN" w:bidi="ar-SA"/>
              </w:rPr>
              <w:t>GB/T 28842《药品冷链物流运作规范》国家标准8.3、《麻醉药品和精神药品运输管理办法》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6.4</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药品应安全、准确、及时送达，货损、货差应控制在合同约定的允许范围之内</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6.4药品应安全、准确、及时送达，货损、货差应控制在合同约定的允许范围之内。若出现货损、货差应及时反馈委托方，并根据委托方意见及时处理</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6.5</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制定因突发情况导致车辆无法正常运行的应急预案，应及时、准确地向委托方及相关客户提供运输与配送的相关信息</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6.5应制定因突发情况导致车辆无法正常运行的应急预案，并及时、准确地向委托方及相关客户提供运输与配送的相关信息</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《药品经营质量管理规范》第一百零六条</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企业应当制定冷藏、冷冻药品运输应急预案，对运输途中可能发生的设备故障、异常天气影响、交通拥堵等突发事件，能够采取相应的应对措施。</w:t>
            </w:r>
            <w:r>
              <w:rPr>
                <w:rFonts w:hint="eastAsia" w:ascii="宋体" w:hAnsi="宋体" w:eastAsia="宋体" w:cs="宋体"/>
                <w:color w:val="000000"/>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6.6委托其他单位运输和配送药品的，应对被委托单位运输与配送药品的质量保障能力进行审查和评估。提货时被委托单位应提供提货委托书，其内容包括但不限于承运商信息、提货人信息、有效期等.</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《药品经营质量管理规范》第一百零七条</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企业委托其他单位运输药品的，应当对承运方运输药品的质量保障能力进行审计，索取运输车辆的相关资料，符合本规范运输设施设备条件和要求的方可委托。</w:t>
            </w:r>
            <w:r>
              <w:rPr>
                <w:rFonts w:hint="eastAsia" w:ascii="宋体" w:hAnsi="宋体" w:eastAsia="宋体" w:cs="宋体"/>
                <w:color w:val="000000"/>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7.4</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药品丢失或损坏时应及时报告，并处理有关赔偿事项</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7.7药品丢失或损坏时应及时报告，并处理有关赔偿事项。如有必要，可按照偏差流程进行处理</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7.4需温控药品装卸应符合GB/T 28842要求</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default" w:ascii="宋体" w:hAnsi="宋体" w:eastAsia="宋体" w:cs="宋体"/>
                <w:sz w:val="18"/>
                <w:szCs w:val="18"/>
                <w:highlight w:val="none"/>
                <w:lang w:val="en-US"/>
              </w:rPr>
            </w:pPr>
            <w:r>
              <w:rPr>
                <w:rFonts w:hint="eastAsia" w:ascii="宋体" w:hAnsi="宋体" w:eastAsia="宋体" w:cs="宋体"/>
                <w:sz w:val="18"/>
                <w:szCs w:val="18"/>
                <w:highlight w:val="none"/>
                <w:lang w:val="en-US" w:eastAsia="zh-CN"/>
              </w:rPr>
              <w:t>参考了</w:t>
            </w:r>
            <w:r>
              <w:rPr>
                <w:rFonts w:hint="eastAsia" w:ascii="宋体" w:hAnsi="宋体" w:eastAsia="宋体" w:cs="宋体"/>
                <w:kern w:val="0"/>
                <w:sz w:val="18"/>
                <w:szCs w:val="18"/>
                <w:highlight w:val="none"/>
                <w:lang w:val="en-US" w:eastAsia="zh-CN" w:bidi="ar-SA"/>
              </w:rPr>
              <w:t>GB/T 28842《药品冷链物流运作规范》国家标准第6章“设施设备与验证管理”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7.5需温控的药品，在药品储存冷库与装卸平台之间宜增设冷藏缓冲区或使用保温罩等临时保温材料</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kern w:val="0"/>
                <w:sz w:val="18"/>
                <w:szCs w:val="18"/>
                <w:highlight w:val="none"/>
                <w:lang w:val="en-US" w:eastAsia="zh-CN" w:bidi="ar-SA"/>
              </w:rPr>
              <w:t>GB/T 28842《药品冷链物流运作规范》国家标准8.1.2“药品从冷藏车转移至冷库的作业过程中，应根据验证结果，采取防护保温措施，不应直接暴露于外界自然温度条件的环境中。”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7.6需温控的药品串点配送装卸时，车厢内温度应始终控制在药品储存或运输要求范围内</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eastAsia="zh-CN" w:bidi="ar"/>
              </w:rPr>
              <w:t>第一百零四条“企业应当根据药品的温度控制要求，在运输过程中采取必要的保温或者冷藏、冷冻措施。”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9增值服务</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9.1</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应采用信息管理技术完成物流服务过程中信息采集、处理、存储、传输、交换和药品质量可追溯，药品质量追溯应能满足药品电子监管要求。</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10.1应配备信息系统，并采用信息管理技术完成物流服务过程中信息采集、处理、存储、传输、交换和药品质量可追溯等操作。</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eastAsia="zh-CN" w:bidi="ar"/>
              </w:rPr>
              <w:t>第三十八条“企业应当制定药品采购、收货、验收、储存、养护、销售、出库复核、运输等环节及计算机系统的操作规程。”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9.2</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对有温控要求的物流信息服务应符合GB/T 28842的相关规定</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删</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此标准里面删除信息服务这一部分内容，故此页删除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10.2　信息系统宜具有库区库位、车辆分配、过程可查可视等功能。</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pStyle w:val="20"/>
              <w:keepNext w:val="0"/>
              <w:keepLines w:val="0"/>
              <w:pageBreakBefore w:val="0"/>
              <w:numPr>
                <w:ilvl w:val="1"/>
                <w:numId w:val="0"/>
              </w:numPr>
              <w:kinsoku/>
              <w:wordWrap/>
              <w:overflowPunct/>
              <w:topLinePunct w:val="0"/>
              <w:bidi w:val="0"/>
              <w:adjustRightInd/>
              <w:snapToGrid/>
              <w:spacing w:before="0" w:beforeLines="0" w:after="0" w:afterLines="0"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10.3药品出入库过程中，信息系统应实时自动生成电子数据记录，对数据记录的修改，应有日志记录。</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eastAsia="zh-CN" w:bidi="ar"/>
              </w:rPr>
              <w:t>第四十条“通过计算机系统记录数据时，有关人员应当按照操作规程，通过授权及密码登录后方可进行数据的录入或者复核；数据的更改应当经质量管理部门审核并在其监督下进行，更改过程应当留有记录。”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pStyle w:val="20"/>
              <w:keepNext w:val="0"/>
              <w:keepLines w:val="0"/>
              <w:pageBreakBefore w:val="0"/>
              <w:numPr>
                <w:ilvl w:val="1"/>
                <w:numId w:val="0"/>
              </w:numPr>
              <w:kinsoku/>
              <w:wordWrap/>
              <w:overflowPunct/>
              <w:topLinePunct w:val="0"/>
              <w:bidi w:val="0"/>
              <w:adjustRightInd/>
              <w:snapToGrid/>
              <w:spacing w:before="0" w:beforeLines="0" w:after="0" w:afterLines="0"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10.4温控药品运输过程中，信息系统应能对温度数据进行集成和汇总，并与药品、订单、车辆等进行关联。</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sz w:val="18"/>
                <w:szCs w:val="18"/>
                <w:highlight w:val="none"/>
                <w:lang w:val="en-US" w:eastAsia="zh-CN"/>
              </w:rPr>
              <w:t>第五十一条“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pStyle w:val="20"/>
              <w:keepNext w:val="0"/>
              <w:keepLines w:val="0"/>
              <w:pageBreakBefore w:val="0"/>
              <w:numPr>
                <w:ilvl w:val="1"/>
                <w:numId w:val="0"/>
              </w:numPr>
              <w:kinsoku/>
              <w:wordWrap/>
              <w:overflowPunct/>
              <w:topLinePunct w:val="0"/>
              <w:bidi w:val="0"/>
              <w:adjustRightInd/>
              <w:snapToGrid/>
              <w:spacing w:before="0" w:beforeLines="0" w:after="0" w:afterLines="0"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10.5应建立药品物流信息化追溯体系，药品追溯的相关数据信息及传输要求应符合NMPAB/T 1010-2019、NMPAB/T 1007-2019的规定。</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eastAsia="zh-CN" w:bidi="ar"/>
              </w:rPr>
              <w:t>第五十七条“企业应当建立能够符合经营全过程管理及质量控制要求的计算机系统，实现药品可追溯。”NMPAB/T 1007-2019《药品经营企业追溯基本数据集》、NMPAB/T 1010-2019《药品追溯数据交换基本技术要求》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10.6应对信息系统运行中涉及的数据采用安全可靠方式储存并按日进行备份，备份数据应存放在安全场所</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eastAsia="zh-CN" w:bidi="ar"/>
              </w:rPr>
              <w:t>第六十条“计算机系统运行中涉及企业经营和管理的数据应当采用安全、可靠的方式储存并按日备份，备份数据应当存放在安全场所，记录类数据的保存时限应当符合本规范第四十二条的要求。”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10.1</w:t>
            </w:r>
          </w:p>
        </w:tc>
        <w:tc>
          <w:tcPr>
            <w:tcW w:w="2908" w:type="dxa"/>
            <w:vAlign w:val="center"/>
          </w:tcPr>
          <w:p>
            <w:pPr>
              <w:pStyle w:val="23"/>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应具有消防、防盗、交通和预防灾害性天气等安全管理制度，并应对相关人员进行培训</w:t>
            </w:r>
          </w:p>
        </w:tc>
        <w:tc>
          <w:tcPr>
            <w:tcW w:w="2917" w:type="dxa"/>
            <w:vAlign w:val="center"/>
          </w:tcPr>
          <w:p>
            <w:pPr>
              <w:pStyle w:val="20"/>
              <w:keepNext w:val="0"/>
              <w:keepLines w:val="0"/>
              <w:pageBreakBefore w:val="0"/>
              <w:numPr>
                <w:ilvl w:val="1"/>
                <w:numId w:val="0"/>
              </w:numPr>
              <w:kinsoku/>
              <w:wordWrap/>
              <w:overflowPunct/>
              <w:topLinePunct w:val="0"/>
              <w:bidi w:val="0"/>
              <w:adjustRightInd/>
              <w:snapToGrid/>
              <w:spacing w:before="0" w:beforeLines="0" w:after="0" w:afterLines="0"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11.1应制定消防、防盗、交通和预防灾害性天气等安全管理制度和应急管理预案，并应对相关人员进行培训。</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val="en-US" w:eastAsia="zh-CN" w:bidi="ar"/>
              </w:rPr>
              <w:t>第一百一十一条</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val="en-US" w:eastAsia="zh-CN" w:bidi="ar"/>
              </w:rPr>
              <w:t>企业应当采取运输安全管理措施，防止在运输过程中发生药品盗抢、遗失、调换等事故。</w:t>
            </w:r>
            <w:r>
              <w:rPr>
                <w:rFonts w:hint="eastAsia" w:ascii="宋体" w:hAnsi="宋体" w:eastAsia="宋体" w:cs="宋体"/>
                <w:color w:val="000000"/>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10.2</w:t>
            </w:r>
          </w:p>
        </w:tc>
        <w:tc>
          <w:tcPr>
            <w:tcW w:w="2908" w:type="dxa"/>
            <w:vAlign w:val="center"/>
          </w:tcPr>
          <w:p>
            <w:pPr>
              <w:pStyle w:val="20"/>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00" w:lineRule="exact"/>
              <w:ind w:leftChars="0"/>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应具有药品储存、运输各环节温控保障的应急预案。</w:t>
            </w:r>
          </w:p>
        </w:tc>
        <w:tc>
          <w:tcPr>
            <w:tcW w:w="2917" w:type="dxa"/>
            <w:vAlign w:val="center"/>
          </w:tcPr>
          <w:p>
            <w:pPr>
              <w:pStyle w:val="20"/>
              <w:keepNext w:val="0"/>
              <w:keepLines w:val="0"/>
              <w:pageBreakBefore w:val="0"/>
              <w:numPr>
                <w:ilvl w:val="1"/>
                <w:numId w:val="0"/>
              </w:numPr>
              <w:kinsoku/>
              <w:wordWrap/>
              <w:overflowPunct/>
              <w:topLinePunct w:val="0"/>
              <w:bidi w:val="0"/>
              <w:adjustRightInd/>
              <w:snapToGrid/>
              <w:spacing w:before="0" w:beforeLines="0" w:after="0" w:afterLines="0"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11.2应制定药品储存、运输、配送各环节温控保障的应急预案，并定期举行应急预案演练。</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参考GB/T 28842《药品冷链物流运作规范》国家标准9.2</w:t>
            </w:r>
            <w:r>
              <w:rPr>
                <w:rFonts w:hint="eastAsia" w:ascii="宋体" w:hAnsi="宋体" w:eastAsia="宋体" w:cs="宋体"/>
                <w:sz w:val="18"/>
                <w:szCs w:val="18"/>
                <w:highlight w:val="none"/>
                <w:lang w:eastAsia="zh-CN"/>
              </w:rPr>
              <w:t>“应定期开展应急预案演练，模拟突发情况及应急处置过程。”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10.3</w:t>
            </w:r>
          </w:p>
        </w:tc>
        <w:tc>
          <w:tcPr>
            <w:tcW w:w="2908" w:type="dxa"/>
            <w:vAlign w:val="center"/>
          </w:tcPr>
          <w:p>
            <w:pPr>
              <w:pStyle w:val="20"/>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00" w:lineRule="exact"/>
              <w:ind w:leftChars="0"/>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应采取存货保险、财产保险、运输保险等措施，有效控制风险。</w:t>
            </w:r>
          </w:p>
        </w:tc>
        <w:tc>
          <w:tcPr>
            <w:tcW w:w="2917" w:type="dxa"/>
            <w:vAlign w:val="center"/>
          </w:tcPr>
          <w:p>
            <w:pPr>
              <w:pStyle w:val="20"/>
              <w:keepNext w:val="0"/>
              <w:keepLines w:val="0"/>
              <w:pageBreakBefore w:val="0"/>
              <w:numPr>
                <w:ilvl w:val="1"/>
                <w:numId w:val="0"/>
              </w:numPr>
              <w:kinsoku/>
              <w:wordWrap/>
              <w:overflowPunct/>
              <w:topLinePunct w:val="0"/>
              <w:bidi w:val="0"/>
              <w:adjustRightInd/>
              <w:snapToGrid/>
              <w:spacing w:before="0" w:beforeLines="0" w:after="0" w:afterLines="0"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删</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保险为商业行为，不在标准里面体现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10.4</w:t>
            </w:r>
          </w:p>
        </w:tc>
        <w:tc>
          <w:tcPr>
            <w:tcW w:w="2908" w:type="dxa"/>
            <w:vAlign w:val="center"/>
          </w:tcPr>
          <w:p>
            <w:pPr>
              <w:pStyle w:val="20"/>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00" w:lineRule="exact"/>
              <w:ind w:leftChars="0"/>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物流服务的委托方与被委托方应签订协议或合同，主要包括：责任、义务、权利、服务内容、服务要求、服务质量、服务价格、赔偿等内容。</w:t>
            </w:r>
          </w:p>
        </w:tc>
        <w:tc>
          <w:tcPr>
            <w:tcW w:w="2917" w:type="dxa"/>
            <w:vAlign w:val="center"/>
          </w:tcPr>
          <w:p>
            <w:pPr>
              <w:pStyle w:val="20"/>
              <w:keepNext w:val="0"/>
              <w:keepLines w:val="0"/>
              <w:pageBreakBefore w:val="0"/>
              <w:numPr>
                <w:ilvl w:val="1"/>
                <w:numId w:val="0"/>
              </w:numPr>
              <w:kinsoku/>
              <w:wordWrap/>
              <w:overflowPunct/>
              <w:topLinePunct w:val="0"/>
              <w:bidi w:val="0"/>
              <w:adjustRightInd/>
              <w:snapToGrid/>
              <w:spacing w:before="0" w:beforeLines="0" w:after="0" w:afterLines="0"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删</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委托要求更改到标准的6.6条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10.5</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信息管理系统运行中，所涉及物流服务的管理数据，应采用安全可靠方式储存并按日进行备份，备份数据应存放在安全场所。</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删</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数据备份要求更改到9.11条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pStyle w:val="20"/>
              <w:keepNext w:val="0"/>
              <w:keepLines w:val="0"/>
              <w:pageBreakBefore w:val="0"/>
              <w:numPr>
                <w:ilvl w:val="1"/>
                <w:numId w:val="0"/>
              </w:numPr>
              <w:kinsoku/>
              <w:wordWrap/>
              <w:overflowPunct/>
              <w:topLinePunct w:val="0"/>
              <w:bidi w:val="0"/>
              <w:adjustRightInd/>
              <w:snapToGrid/>
              <w:spacing w:before="0" w:beforeLines="0" w:after="0" w:afterLines="0" w:line="300" w:lineRule="exact"/>
              <w:ind w:left="0" w:leftChars="0" w:firstLine="0" w:firstLine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11.3应对信息系统定期进行灾备演练</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参考GB/T 28842《药品冷链物流运作规范》国家标准9.2</w:t>
            </w:r>
            <w:r>
              <w:rPr>
                <w:rFonts w:hint="eastAsia" w:ascii="宋体" w:hAnsi="宋体" w:eastAsia="宋体" w:cs="宋体"/>
                <w:sz w:val="18"/>
                <w:szCs w:val="18"/>
                <w:highlight w:val="none"/>
                <w:lang w:eastAsia="zh-CN"/>
              </w:rPr>
              <w:t>“应定期开展应急预案演练，模拟突发情况及应急处置过程。”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0" w:leftChars="0" w:firstLine="0" w:firstLine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11.4存放药品的库房应具备门禁监控、视频监控、回放等系统技术手段。存放特殊药品的库房还应具备接入110联网监控、防盗、报警等网络系统技术手段。</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参考了</w:t>
            </w:r>
            <w:r>
              <w:rPr>
                <w:rFonts w:hint="eastAsia" w:ascii="宋体" w:hAnsi="宋体" w:eastAsia="宋体" w:cs="宋体"/>
                <w:color w:val="000000"/>
                <w:kern w:val="0"/>
                <w:sz w:val="18"/>
                <w:szCs w:val="18"/>
                <w:highlight w:val="none"/>
                <w:lang w:bidi="ar"/>
              </w:rPr>
              <w:t>《药品经营质量管理规范》</w:t>
            </w:r>
            <w:r>
              <w:rPr>
                <w:rFonts w:hint="eastAsia" w:ascii="宋体" w:hAnsi="宋体" w:eastAsia="宋体" w:cs="宋体"/>
                <w:color w:val="000000"/>
                <w:kern w:val="0"/>
                <w:sz w:val="18"/>
                <w:szCs w:val="18"/>
                <w:highlight w:val="none"/>
                <w:lang w:eastAsia="zh-CN" w:bidi="ar"/>
              </w:rPr>
              <w:t>“第四十六条　库房的规模及条件应当满足药品的合理、安全储存，并达到以下要求，便于开展储存作业：（三）库房有可靠的安全防护措施，能够对无关人员进入实行可控管理，防止药品被盗、替换或者混入假药；”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11.5应增强对车辆安全的管理，宜给车辆配置主动安全系统。</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服务质量的主要评价指标</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附录A服务评价与改进</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根据GB/T 1.1编写要求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pStyle w:val="27"/>
              <w:keepNext w:val="0"/>
              <w:keepLines w:val="0"/>
              <w:pageBreakBefore w:val="0"/>
              <w:numPr>
                <w:ilvl w:val="0"/>
                <w:numId w:val="0"/>
              </w:numPr>
              <w:kinsoku/>
              <w:wordWrap/>
              <w:overflowPunct/>
              <w:topLinePunct w:val="0"/>
              <w:bidi w:val="0"/>
              <w:adjustRightInd/>
              <w:snapToGrid/>
              <w:spacing w:before="0" w:beforeLines="0" w:after="0" w:afterLines="0" w:line="300" w:lineRule="exact"/>
              <w:ind w:left="0" w:leftChars="0" w:firstLine="0" w:firstLine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13.1宜对每次药品物流服务情况向委托方进行回访，并回收回访记录。</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pStyle w:val="27"/>
              <w:keepNext w:val="0"/>
              <w:keepLines w:val="0"/>
              <w:pageBreakBefore w:val="0"/>
              <w:numPr>
                <w:ilvl w:val="0"/>
                <w:numId w:val="0"/>
              </w:numPr>
              <w:kinsoku/>
              <w:wordWrap/>
              <w:overflowPunct/>
              <w:topLinePunct w:val="0"/>
              <w:bidi w:val="0"/>
              <w:adjustRightInd/>
              <w:snapToGrid/>
              <w:spacing w:before="0" w:beforeLines="0" w:after="0" w:afterLines="0" w:line="300" w:lineRule="exact"/>
              <w:ind w:left="0" w:leftChars="0" w:firstLine="0" w:firstLine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13.2宜根据委托方回访及现场记录、操作情况对服务绩效等进行评价，服务绩效评价指标见附录A。</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pStyle w:val="27"/>
              <w:keepNext w:val="0"/>
              <w:keepLines w:val="0"/>
              <w:pageBreakBefore w:val="0"/>
              <w:numPr>
                <w:ilvl w:val="0"/>
                <w:numId w:val="0"/>
              </w:numPr>
              <w:kinsoku/>
              <w:wordWrap/>
              <w:overflowPunct/>
              <w:topLinePunct w:val="0"/>
              <w:bidi w:val="0"/>
              <w:adjustRightInd/>
              <w:snapToGrid/>
              <w:spacing w:before="0" w:beforeLines="0" w:after="0" w:afterLines="0" w:line="300" w:lineRule="exact"/>
              <w:ind w:left="0" w:leftChars="0" w:firstLine="0" w:firstLine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13.3应对委托方反馈的问题进行分析，并及时改进。</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附录A.7出库订单完成准时率</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numPr>
                <w:ilvl w:val="0"/>
                <w:numId w:val="8"/>
              </w:numPr>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rPr>
            </w:pPr>
          </w:p>
        </w:tc>
        <w:tc>
          <w:tcPr>
            <w:tcW w:w="910" w:type="dxa"/>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新增</w:t>
            </w:r>
          </w:p>
        </w:tc>
        <w:tc>
          <w:tcPr>
            <w:tcW w:w="2908" w:type="dxa"/>
            <w:vAlign w:val="center"/>
          </w:tcPr>
          <w:p>
            <w:pPr>
              <w:pStyle w:val="23"/>
              <w:keepNext w:val="0"/>
              <w:keepLines w:val="0"/>
              <w:pageBreakBefore w:val="0"/>
              <w:widowControl w:val="0"/>
              <w:kinsoku/>
              <w:wordWrap/>
              <w:overflowPunct/>
              <w:topLinePunct w:val="0"/>
              <w:bidi w:val="0"/>
              <w:adjustRightInd/>
              <w:snapToGrid/>
              <w:spacing w:before="0" w:beforeLines="0" w:line="300" w:lineRule="exact"/>
              <w:jc w:val="both"/>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w:t>
            </w:r>
          </w:p>
        </w:tc>
        <w:tc>
          <w:tcPr>
            <w:tcW w:w="2917" w:type="dxa"/>
            <w:vAlign w:val="center"/>
          </w:tcPr>
          <w:p>
            <w:pPr>
              <w:keepNext w:val="0"/>
              <w:keepLines w:val="0"/>
              <w:pageBreakBefore w:val="0"/>
              <w:numPr>
                <w:ilvl w:val="0"/>
                <w:numId w:val="0"/>
              </w:numPr>
              <w:kinsoku/>
              <w:wordWrap/>
              <w:overflowPunct/>
              <w:topLinePunct w:val="0"/>
              <w:bidi w:val="0"/>
              <w:adjustRightInd/>
              <w:snapToGrid/>
              <w:spacing w:line="300" w:lineRule="exact"/>
              <w:ind w:leftChars="0"/>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附录A.8回单返回及时率</w:t>
            </w:r>
          </w:p>
        </w:tc>
        <w:tc>
          <w:tcPr>
            <w:tcW w:w="2778" w:type="dxa"/>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依据行业情况及研讨会编写</w:t>
            </w:r>
          </w:p>
        </w:tc>
      </w:tr>
    </w:tbl>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2、验证情况</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标准根据行业中经营企业、物流企业等单位的实际物流服务情况以及相关的国家法律法规和标准要求修订而成。标准中针对仓储、运输与配送、装卸与搬运、增值服务、信息管理、风险控制、服务评价与改进等修订的内容调研了21家企业的发展以及实际运营情况，从物流服务相关制度、操作流程等方面进行了资料调研、实地调研，或在研讨会上进行了讨论（见表3）。调研结束后，根据反馈结果行业企业的物流服务均能满足标准修订后的要求。</w:t>
      </w:r>
    </w:p>
    <w:p>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表3</w:t>
      </w:r>
    </w:p>
    <w:tbl>
      <w:tblPr>
        <w:tblStyle w:val="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Layout w:type="autofit"/>
        <w:tblCellMar>
          <w:top w:w="0" w:type="dxa"/>
          <w:left w:w="108" w:type="dxa"/>
          <w:bottom w:w="0" w:type="dxa"/>
          <w:right w:w="108" w:type="dxa"/>
        </w:tblCellMar>
      </w:tblPr>
      <w:tblGrid>
        <w:gridCol w:w="397"/>
        <w:gridCol w:w="3288"/>
        <w:gridCol w:w="973"/>
        <w:gridCol w:w="4139"/>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146" w:hRule="atLeast"/>
          <w:jc w:val="center"/>
        </w:trPr>
        <w:tc>
          <w:tcPr>
            <w:tcW w:w="397" w:type="dxa"/>
            <w:shd w:val="clear" w:color="000000"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288" w:type="dxa"/>
            <w:shd w:val="clear" w:color="000000" w:fill="auto"/>
            <w:vAlign w:val="center"/>
          </w:tcPr>
          <w:p>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调研</w:t>
            </w:r>
            <w:r>
              <w:rPr>
                <w:rFonts w:hint="eastAsia" w:ascii="宋体" w:hAnsi="宋体" w:eastAsia="宋体" w:cs="宋体"/>
                <w:color w:val="auto"/>
                <w:sz w:val="18"/>
                <w:szCs w:val="18"/>
                <w:highlight w:val="none"/>
              </w:rPr>
              <w:t>单位</w:t>
            </w:r>
          </w:p>
        </w:tc>
        <w:tc>
          <w:tcPr>
            <w:tcW w:w="973" w:type="dxa"/>
            <w:shd w:val="clear" w:color="000000" w:fill="auto"/>
            <w:vAlign w:val="center"/>
          </w:tcPr>
          <w:p>
            <w:pPr>
              <w:jc w:val="center"/>
              <w:rPr>
                <w:rFonts w:hint="default"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调研方式</w:t>
            </w:r>
          </w:p>
        </w:tc>
        <w:tc>
          <w:tcPr>
            <w:tcW w:w="4139" w:type="dxa"/>
            <w:shd w:val="clear" w:color="000000" w:fill="auto"/>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验证内容</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eastAsiaTheme="minorEastAsia" w:cstheme="minorBidi"/>
                <w:color w:val="auto"/>
                <w:kern w:val="2"/>
                <w:sz w:val="18"/>
                <w:szCs w:val="18"/>
                <w:highlight w:val="none"/>
                <w:lang w:val="en-US" w:eastAsia="zh-CN" w:bidi="ar-SA"/>
              </w:rPr>
            </w:pPr>
            <w:r>
              <w:rPr>
                <w:rFonts w:hint="eastAsia" w:ascii="Segoe UI" w:hAnsi="Segoe UI" w:eastAsia="Segoe UI" w:cs="Segoe UI"/>
                <w:i w:val="0"/>
                <w:iCs w:val="0"/>
                <w:color w:val="171A1D"/>
                <w:kern w:val="0"/>
                <w:sz w:val="18"/>
                <w:szCs w:val="18"/>
                <w:u w:val="none"/>
                <w:lang w:val="en-US" w:eastAsia="zh-CN" w:bidi="ar"/>
              </w:rPr>
              <w:t>国药集团医药物流有限公司</w:t>
            </w:r>
          </w:p>
        </w:tc>
        <w:tc>
          <w:tcPr>
            <w:tcW w:w="973" w:type="dxa"/>
            <w:shd w:val="clear" w:color="000000" w:fill="auto"/>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仓储、运输与配送、装卸与搬运、增值服务、信息管理、风险控制、服务评价与改进</w:t>
            </w:r>
          </w:p>
        </w:tc>
        <w:tc>
          <w:tcPr>
            <w:tcW w:w="595" w:type="dxa"/>
            <w:shd w:val="clear" w:color="000000" w:fill="auto"/>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eastAsiaTheme="minorEastAsia" w:cstheme="minorBidi"/>
                <w:color w:val="auto"/>
                <w:kern w:val="2"/>
                <w:sz w:val="18"/>
                <w:szCs w:val="18"/>
                <w:highlight w:val="none"/>
                <w:lang w:val="en-US" w:eastAsia="zh-CN" w:bidi="ar-SA"/>
              </w:rPr>
            </w:pPr>
            <w:r>
              <w:rPr>
                <w:rFonts w:hint="default" w:ascii="Segoe UI" w:hAnsi="Segoe UI" w:eastAsia="Segoe UI" w:cs="Segoe UI"/>
                <w:i w:val="0"/>
                <w:iCs w:val="0"/>
                <w:color w:val="171A1D"/>
                <w:kern w:val="0"/>
                <w:sz w:val="18"/>
                <w:szCs w:val="18"/>
                <w:u w:val="none"/>
                <w:lang w:val="en-US" w:eastAsia="zh-CN" w:bidi="ar"/>
              </w:rPr>
              <w:t>上药控股有限公司</w:t>
            </w:r>
          </w:p>
        </w:tc>
        <w:tc>
          <w:tcPr>
            <w:tcW w:w="973" w:type="dxa"/>
            <w:shd w:val="clear" w:color="000000" w:fill="auto"/>
            <w:vAlign w:val="center"/>
          </w:tcPr>
          <w:p>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仓储、运输与配送、装卸与搬运、增值服务、信息管理、风险控制、服务评价与改进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eastAsiaTheme="minorEastAsia" w:cstheme="minorBidi"/>
                <w:color w:val="auto"/>
                <w:kern w:val="2"/>
                <w:sz w:val="18"/>
                <w:szCs w:val="18"/>
                <w:highlight w:val="none"/>
                <w:lang w:val="en-US" w:eastAsia="zh-CN" w:bidi="ar-SA"/>
              </w:rPr>
            </w:pPr>
            <w:r>
              <w:rPr>
                <w:rFonts w:hint="default" w:ascii="Segoe UI" w:hAnsi="Segoe UI" w:eastAsia="Segoe UI" w:cs="Segoe UI"/>
                <w:i w:val="0"/>
                <w:iCs w:val="0"/>
                <w:color w:val="171A1D"/>
                <w:kern w:val="0"/>
                <w:sz w:val="18"/>
                <w:szCs w:val="18"/>
                <w:u w:val="none"/>
                <w:lang w:val="en-US" w:eastAsia="zh-CN" w:bidi="ar"/>
              </w:rPr>
              <w:t>华润广东医药有限公司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仓储、运输与配送、装卸与搬运、增值服务、信息管理、风险控制、服务评价与改进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eastAsiaTheme="minorEastAsia" w:cstheme="minorBidi"/>
                <w:color w:val="auto"/>
                <w:kern w:val="2"/>
                <w:sz w:val="18"/>
                <w:szCs w:val="18"/>
                <w:highlight w:val="none"/>
                <w:lang w:val="en-US" w:eastAsia="zh-CN" w:bidi="ar-SA"/>
              </w:rPr>
            </w:pPr>
            <w:r>
              <w:rPr>
                <w:rFonts w:hint="default" w:ascii="Segoe UI" w:hAnsi="Segoe UI" w:eastAsia="Segoe UI" w:cs="Segoe UI"/>
                <w:i w:val="0"/>
                <w:iCs w:val="0"/>
                <w:color w:val="171A1D"/>
                <w:kern w:val="0"/>
                <w:sz w:val="18"/>
                <w:szCs w:val="18"/>
                <w:u w:val="none"/>
                <w:lang w:val="en-US" w:eastAsia="zh-CN" w:bidi="ar"/>
              </w:rPr>
              <w:t>九州通医药集团物流有限公司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仓储、运输与配送、装卸与搬运、增值服务、信息管理、风险控制、服务评价与改进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eastAsiaTheme="minorEastAsia" w:cstheme="minorBidi"/>
                <w:color w:val="auto"/>
                <w:kern w:val="2"/>
                <w:sz w:val="18"/>
                <w:szCs w:val="18"/>
                <w:highlight w:val="none"/>
                <w:lang w:val="en-US" w:eastAsia="zh-CN" w:bidi="ar-SA"/>
              </w:rPr>
            </w:pPr>
            <w:r>
              <w:rPr>
                <w:rFonts w:hint="default" w:ascii="Segoe UI" w:hAnsi="Segoe UI" w:eastAsia="Segoe UI" w:cs="Segoe UI"/>
                <w:i w:val="0"/>
                <w:iCs w:val="0"/>
                <w:color w:val="171A1D"/>
                <w:kern w:val="0"/>
                <w:sz w:val="18"/>
                <w:szCs w:val="18"/>
                <w:u w:val="none"/>
                <w:lang w:val="en-US" w:eastAsia="zh-CN" w:bidi="ar"/>
              </w:rPr>
              <w:t>广州医药股份有限公司</w:t>
            </w:r>
          </w:p>
        </w:tc>
        <w:tc>
          <w:tcPr>
            <w:tcW w:w="973" w:type="dxa"/>
            <w:shd w:val="clear" w:color="000000" w:fill="auto"/>
            <w:vAlign w:val="center"/>
          </w:tcPr>
          <w:p>
            <w:pPr>
              <w:jc w:val="center"/>
              <w:rPr>
                <w:rFonts w:hint="default"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资料调研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增值服务、信息管理、风险控制、服务评价与改进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eastAsiaTheme="minorEastAsia" w:cstheme="minorBidi"/>
                <w:color w:val="auto"/>
                <w:kern w:val="2"/>
                <w:sz w:val="18"/>
                <w:szCs w:val="18"/>
                <w:highlight w:val="none"/>
                <w:lang w:val="en-US" w:eastAsia="zh-CN" w:bidi="ar-SA"/>
              </w:rPr>
            </w:pPr>
            <w:r>
              <w:rPr>
                <w:rFonts w:hint="default" w:ascii="Segoe UI" w:hAnsi="Segoe UI" w:eastAsia="Segoe UI" w:cs="Segoe UI"/>
                <w:i w:val="0"/>
                <w:iCs w:val="0"/>
                <w:color w:val="171A1D"/>
                <w:kern w:val="0"/>
                <w:sz w:val="18"/>
                <w:szCs w:val="18"/>
                <w:u w:val="none"/>
                <w:lang w:val="en-US" w:eastAsia="zh-CN" w:bidi="ar"/>
              </w:rPr>
              <w:t>浙江英特物流有限公司</w:t>
            </w:r>
          </w:p>
        </w:tc>
        <w:tc>
          <w:tcPr>
            <w:tcW w:w="973" w:type="dxa"/>
            <w:shd w:val="clear" w:color="000000" w:fill="auto"/>
            <w:vAlign w:val="center"/>
          </w:tcPr>
          <w:p>
            <w:pPr>
              <w:jc w:val="center"/>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资料调研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增值服务、信息管理、风险控制、服务评价与改进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湖南省融达医药物流有限责任公司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仓储、运输与配送、装卸与搬运</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北京映急物流有限公司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运输与配送、装卸与搬运</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default" w:ascii="宋体" w:hAnsi="宋体" w:eastAsia="宋体" w:cs="Times New Roman"/>
                <w:color w:val="auto"/>
                <w:sz w:val="18"/>
                <w:szCs w:val="18"/>
                <w:highlight w:val="none"/>
                <w:lang w:val="en-US" w:eastAsia="zh-CN"/>
              </w:rPr>
            </w:pPr>
            <w:r>
              <w:rPr>
                <w:rFonts w:hint="default" w:ascii="宋体" w:hAnsi="宋体" w:eastAsia="宋体" w:cs="Times New Roman"/>
                <w:color w:val="auto"/>
                <w:sz w:val="18"/>
                <w:szCs w:val="18"/>
                <w:highlight w:val="none"/>
                <w:lang w:val="en-US" w:eastAsia="zh-CN"/>
              </w:rPr>
              <w:t>重药控股陕西医药有限公司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资料调研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增值服务、信息管理、风险控制、服务评价与改进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中集冷云（北京）供应链管理有限公司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运输与配送、装卸与搬运、服务评价与改进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上药控股四川生物制品有限公司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资料调研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华东医药供应链管理（温州）有限公司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资料调研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北京钥途冷运物流有限公司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运输与配送、装卸与搬运、增值服务、信息管理、风险控制、服务评价与改进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北京华欣物流有限公司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运输与配送、装卸与搬运、增值服务、风险控制、服务评价与改进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上海生生物流有限公司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运输与配送、装卸与搬运、增值服务、风险控制、服务评价与改进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广州金域达物流有限公司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运输与配送、装卸与搬运、风险控制、服务评价与改进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国药集团西南医药有限公司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资料调研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国药集团新疆新特药业有限公司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资料调研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浙江美康达冷链物流有限公司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资料调研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运输与配送</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金华英特物流有限公司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研讨会</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仓储、运输与配送、装卸与搬运、增值服务、信息管理、风险控制、服务评价与改进</w:t>
            </w:r>
          </w:p>
        </w:tc>
        <w:tc>
          <w:tcPr>
            <w:tcW w:w="595"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97" w:type="dxa"/>
            <w:shd w:val="clear" w:color="000000"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ind w:left="425" w:hanging="425" w:firstLineChars="0"/>
              <w:jc w:val="left"/>
              <w:textAlignment w:val="auto"/>
              <w:rPr>
                <w:rFonts w:ascii="宋体" w:hAnsi="宋体" w:eastAsia="宋体" w:cs="宋体"/>
                <w:color w:val="auto"/>
                <w:sz w:val="18"/>
                <w:szCs w:val="18"/>
                <w:highlight w:val="none"/>
              </w:rPr>
            </w:pPr>
          </w:p>
        </w:tc>
        <w:tc>
          <w:tcPr>
            <w:tcW w:w="3288" w:type="dxa"/>
            <w:shd w:val="clear" w:color="000000" w:fill="auto"/>
            <w:vAlign w:val="center"/>
          </w:tcPr>
          <w:p>
            <w:pPr>
              <w:keepNext w:val="0"/>
              <w:keepLines w:val="0"/>
              <w:widowControl/>
              <w:suppressLineNumbers w:val="0"/>
              <w:jc w:val="left"/>
              <w:textAlignment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科园信海(北京)医疗用品贸易有限公司</w:t>
            </w:r>
          </w:p>
        </w:tc>
        <w:tc>
          <w:tcPr>
            <w:tcW w:w="973" w:type="dxa"/>
            <w:shd w:val="clear" w:color="000000"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电话及实地调研</w:t>
            </w:r>
          </w:p>
        </w:tc>
        <w:tc>
          <w:tcPr>
            <w:tcW w:w="4139" w:type="dxa"/>
            <w:shd w:val="clear" w:color="000000" w:fill="auto"/>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仓储、运输与配送、装卸与搬运、增值服务、信息管理、风险控制、服务评价与改进</w:t>
            </w:r>
          </w:p>
        </w:tc>
        <w:tc>
          <w:tcPr>
            <w:tcW w:w="595" w:type="dxa"/>
            <w:shd w:val="clear" w:color="000000" w:fill="auto"/>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w:t>
            </w:r>
          </w:p>
        </w:tc>
      </w:tr>
    </w:tbl>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七、重大意见分歧的处理经过和依据</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八、采标情况</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九、与现行法律、法规和强制性国家标准的关系</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本标准的所有条款符合法律法规，与现有标准和制定中的标准没有矛盾，与其他行业或领域没有冲突。</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十、宣贯及实施建议 </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1、本标准已</w:t>
      </w:r>
      <w:r>
        <w:rPr>
          <w:rFonts w:hint="eastAsia" w:ascii="宋体" w:hAnsi="宋体" w:eastAsia="宋体" w:cs="宋体"/>
          <w:color w:val="000000" w:themeColor="text1"/>
          <w:sz w:val="28"/>
          <w:szCs w:val="28"/>
          <w:lang w:val="en-US" w:eastAsia="zh-CN"/>
          <w14:textFill>
            <w14:solidFill>
              <w14:schemeClr w14:val="tx1"/>
            </w14:solidFill>
          </w14:textFill>
        </w:rPr>
        <w:t>开展</w:t>
      </w:r>
      <w:r>
        <w:rPr>
          <w:rFonts w:hint="eastAsia" w:ascii="宋体" w:hAnsi="宋体" w:eastAsia="宋体" w:cs="宋体"/>
          <w:color w:val="000000" w:themeColor="text1"/>
          <w:sz w:val="28"/>
          <w:szCs w:val="28"/>
          <w14:textFill>
            <w14:solidFill>
              <w14:schemeClr w14:val="tx1"/>
            </w14:solidFill>
          </w14:textFill>
        </w:rPr>
        <w:t>一批试点企业的推广工作，修订后将继续开展此项推广工作</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大力扶持符合标准要求，能为社会提供公共服务的物流企业，以此不断提高物流企业服务的质量和服务的效益。</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2、通过举办培训班、发放宣传资料以及网络、微信、公众号等方式强化宣传，大力普及标准，营造贯彻标准的良好氛围，提高标准的社会关注度与知晓度，促进各相关企业准确理解、掌握和执行标准。</w:t>
      </w:r>
    </w:p>
    <w:p>
      <w:pPr>
        <w:ind w:firstLine="560" w:firstLineChars="200"/>
        <w:rPr>
          <w:rFonts w:hint="eastAsia" w:ascii="宋体" w:hAnsi="宋体" w:cs="宋体" w:eastAsiaTheme="minorEastAsia"/>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3、推动相关政府主管部门积极引用标准，协调建议将</w:t>
      </w:r>
      <w:r>
        <w:rPr>
          <w:rFonts w:hint="eastAsia" w:ascii="宋体" w:hAnsi="宋体" w:eastAsia="宋体" w:cs="宋体"/>
          <w:color w:val="000000" w:themeColor="text1"/>
          <w:sz w:val="28"/>
          <w:szCs w:val="28"/>
          <w:lang w:val="en-US" w:eastAsia="zh-CN"/>
          <w14:textFill>
            <w14:solidFill>
              <w14:schemeClr w14:val="tx1"/>
            </w14:solidFill>
          </w14:textFill>
        </w:rPr>
        <w:t>编写法规时引用</w:t>
      </w:r>
      <w:r>
        <w:rPr>
          <w:rFonts w:hint="eastAsia" w:ascii="宋体" w:hAnsi="宋体" w:eastAsia="宋体" w:cs="宋体"/>
          <w:color w:val="000000" w:themeColor="text1"/>
          <w:sz w:val="28"/>
          <w:szCs w:val="28"/>
          <w14:textFill>
            <w14:solidFill>
              <w14:schemeClr w14:val="tx1"/>
            </w14:solidFill>
          </w14:textFill>
        </w:rPr>
        <w:t>该标准，更好的规范企业运营，努力构建一个层级分明、标准统一、协调有序的药品物流安全监管体系</w:t>
      </w:r>
      <w:r>
        <w:rPr>
          <w:rFonts w:hint="eastAsia"/>
          <w:lang w:eastAsia="zh-CN"/>
        </w:rPr>
        <w:t>。</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十一、其他应予说明的事项 </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ascii="宋体" w:hAnsi="宋体" w:eastAsia="宋体" w:cs="宋体"/>
          <w:color w:val="000000" w:themeColor="text1"/>
          <w:sz w:val="28"/>
          <w:szCs w:val="28"/>
          <w14:textFill>
            <w14:solidFill>
              <w14:schemeClr w14:val="tx1"/>
            </w14:solidFill>
          </w14:textFill>
        </w:rPr>
      </w:pPr>
    </w:p>
    <w:p>
      <w:pPr>
        <w:ind w:firstLine="560" w:firstLineChars="200"/>
        <w:rPr>
          <w:rFonts w:ascii="宋体" w:hAnsi="宋体" w:eastAsia="宋体" w:cs="宋体"/>
          <w:color w:val="000000" w:themeColor="text1"/>
          <w:sz w:val="28"/>
          <w:szCs w:val="28"/>
          <w14:textFill>
            <w14:solidFill>
              <w14:schemeClr w14:val="tx1"/>
            </w14:solidFill>
          </w14:textFill>
        </w:rPr>
      </w:pPr>
    </w:p>
    <w:p>
      <w:pPr>
        <w:ind w:firstLine="560" w:firstLineChars="200"/>
        <w:jc w:val="righ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《药品物流服务规范》国家标准</w:t>
      </w:r>
    </w:p>
    <w:p>
      <w:pPr>
        <w:ind w:firstLine="56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2022年7月22日</w:t>
      </w:r>
    </w:p>
    <w:p>
      <w:pPr>
        <w:ind w:firstLine="560" w:firstLineChars="200"/>
        <w:jc w:val="right"/>
        <w:rPr>
          <w:rFonts w:hint="eastAsia" w:ascii="宋体" w:hAnsi="宋体" w:eastAsia="宋体" w:cs="宋体"/>
          <w:color w:val="000000" w:themeColor="text1"/>
          <w:sz w:val="28"/>
          <w:szCs w:val="28"/>
          <w14:textFill>
            <w14:solidFill>
              <w14:schemeClr w14:val="tx1"/>
            </w14:solidFill>
          </w14:textFill>
        </w:rPr>
      </w:pPr>
    </w:p>
    <w:p>
      <w:pPr>
        <w:ind w:firstLine="560" w:firstLineChars="200"/>
        <w:jc w:val="right"/>
        <w:rPr>
          <w:rFonts w:hint="eastAsia" w:ascii="宋体" w:hAnsi="宋体" w:eastAsia="宋体" w:cs="宋体"/>
          <w:color w:val="000000" w:themeColor="text1"/>
          <w:sz w:val="28"/>
          <w:szCs w:val="28"/>
          <w14:textFill>
            <w14:solidFill>
              <w14:schemeClr w14:val="tx1"/>
            </w14:solidFill>
          </w14:textFill>
        </w:rPr>
      </w:pPr>
    </w:p>
    <w:p>
      <w:pPr>
        <w:ind w:firstLine="560" w:firstLineChars="200"/>
        <w:jc w:val="right"/>
        <w:rPr>
          <w:rFonts w:hint="eastAsia" w:ascii="宋体" w:hAnsi="宋体" w:eastAsia="宋体" w:cs="宋体"/>
          <w:color w:val="000000" w:themeColor="text1"/>
          <w:sz w:val="28"/>
          <w:szCs w:val="28"/>
          <w14:textFill>
            <w14:solidFill>
              <w14:schemeClr w14:val="tx1"/>
            </w14:solidFill>
          </w14:textFill>
        </w:rPr>
      </w:pPr>
    </w:p>
    <w:p>
      <w:pPr>
        <w:ind w:firstLine="0" w:firstLineChars="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附件1：</w:t>
      </w:r>
    </w:p>
    <w:p>
      <w:pPr>
        <w:ind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《药品物流服务规范》国家标准研讨会参会名单</w:t>
      </w:r>
    </w:p>
    <w:tbl>
      <w:tblPr>
        <w:tblStyle w:val="8"/>
        <w:tblW w:w="76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3860"/>
        <w:gridCol w:w="1130"/>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序号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公司名称</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姓名</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中物联医药物流分会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郭威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常务副秘书长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中物联医药物流分会</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王晓晓</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助理秘书长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国药集团医药物流有限公司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吴远开</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国药控股物流规划与管理部部长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赛诺菲巴斯德生物医药有限公司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孙宏雷</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业务营运负责人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国药物流有限责任公司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常杰英</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国药物流有限责任公司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朱伟娜</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广州医药股份有限公司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彭启星</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质量管理部总监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江苏省医药有限公司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袁镜</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质量负责人/物流经理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湖南医药集团有限公司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陈嵘波</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湖南达嘉维康医药有限公司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李瑞华</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质量总监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江西五洲医药营销有限公司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刘芳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陕西海川医药物流有限公司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任伟</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广东通用医药有限公司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熊南青</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广东通用医药有限公司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李艳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湖南天润生物医药有限公司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李清云</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顺丰速运有限公司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张宏舟</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医药项目负责人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顺丰速运有限公司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古迪</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市场总监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顺丰医药供应链管理有限公司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杨之杰</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解决方案总监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上海康展物流有限公司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张鹏</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区域总经理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上海康展物流有限公司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肖国福</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上海生生物流有限公司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肖忠海</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销售总监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中集冷云（北京）供应链管理有限公司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王庆</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质量高级经理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北京映急物流有限公司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武汉映急总经理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成都易速物流有限公司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毛琼辉</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成都易速物流有限公司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何磊</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中邮物流有限责任公司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吴志昊</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大客户经理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开利运输冷冻(中国)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宋玫峰</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产品经理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青岛海尔生物医疗股份有限公司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牛愉涛</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青岛海尔生物医疗股份有限公司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张国帆</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研发工程师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芯箱联科技（深圳）有限公司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刘峻旭</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医药箱事业部总经理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四川万物纪年信息科技有限公司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王雅萍</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四川万物纪年信息科技有限公司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曾馨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江苏省精创电气股份有限公司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刘同雨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事业部副总经理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艾默生环境优化技术（苏州）有限公司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尤鹏清</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冷链市场经理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福建新大陆自动识别技术有限公司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陈忠晨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应用软件部经理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福建新大陆自动识别技术有限公司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柯劲</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医疗行业总监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深圳市森若新材科技有限公司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聂鑫</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深圳市森若新材科技有限公司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杨若菡</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纯钧新材料（深圳）有限公司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梁鹏飞</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纯钧新材料（深圳）有限公司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郭洪明</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苏州市伏泰信息科技股份有限公司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沙明</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销售总监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华润河南医药有限公司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盛宗民</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华润河南医药有限公司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上药科园信海陕西医药有限公司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樊洁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北京科园信海医药经营有限公司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潘海威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物流高级总监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北京科园信海医药经营有限公司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周翀</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项目高级经理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北京科园信海医药经营有限公司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辛升</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国药控股上海生物医药有限公司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吕道浦</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物流发展中心经理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北京华氏康源医药科技有限公司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关艳玲</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采购经理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北京美康永正医药有限公司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杨波</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物流总监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北京美康永正医药有限公司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李晔</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物流经理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黑龙江泰诚医药有限公司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吕赫宁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重庆贝特美医药有限公司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陈超</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质量经理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珠海润华物流有限公司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曹华文</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珠海润华物流有限公司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孙启法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上海泛赋化工科技有限公司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李智毅</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销售经理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北京嘉德实创制冷科技有限公司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撒厚颋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上海擎峰国际货物运输代理有限公司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陈瑜</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北京五环金通供应链管理有限公司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喻春宇</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浙江仕佰达供应链管理有限公司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王彬</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浙江仕佰达供应链管理有限公司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钦哲</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中孚（杭州）认证技术有限公司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陆侃彦</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上海腾跃物流有限公司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钱伟</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江苏凡斯特供应链管理有限公司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王玉洁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江苏凡斯特供应链管理有限公司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洪珊</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商务经理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极兔国际物流有限公司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周庆平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极兔国际物流有限公司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蔡军</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沈阳四达货物运输有限公司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常娜</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沈阳四达货物运输有限公司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孙宇</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四川迈科隆真空新材料有限公司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牛天征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深圳恒毅兴实业有限公司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李业京</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大客户经理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ind w:left="425" w:hanging="425"/>
              <w:jc w:val="center"/>
              <w:textAlignment w:val="cente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宁夏福泰节能科技有限公司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余利方</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总经理</w:t>
            </w:r>
          </w:p>
        </w:tc>
      </w:tr>
    </w:tbl>
    <w:p>
      <w:pPr>
        <w:ind w:firstLine="0" w:firstLineChars="0"/>
        <w:jc w:val="both"/>
        <w:rPr>
          <w:rFonts w:hint="default" w:ascii="宋体" w:hAnsi="宋体" w:eastAsia="宋体" w:cs="宋体"/>
          <w:color w:val="000000" w:themeColor="text1"/>
          <w:sz w:val="28"/>
          <w:szCs w:val="28"/>
          <w:lang w:val="en-US" w:eastAsia="zh-CN"/>
          <w14:textFill>
            <w14:solidFill>
              <w14:schemeClr w14:val="tx1"/>
            </w14:solidFill>
          </w14:textFill>
        </w:rPr>
      </w:pP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18C3D"/>
    <w:multiLevelType w:val="singleLevel"/>
    <w:tmpl w:val="94618C3D"/>
    <w:lvl w:ilvl="0" w:tentative="0">
      <w:start w:val="1"/>
      <w:numFmt w:val="decimal"/>
      <w:lvlText w:val="%1."/>
      <w:lvlJc w:val="left"/>
      <w:pPr>
        <w:ind w:left="425" w:hanging="425"/>
      </w:pPr>
      <w:rPr>
        <w:rFonts w:hint="default"/>
      </w:rPr>
    </w:lvl>
  </w:abstractNum>
  <w:abstractNum w:abstractNumId="1">
    <w:nsid w:val="978DC50E"/>
    <w:multiLevelType w:val="singleLevel"/>
    <w:tmpl w:val="978DC50E"/>
    <w:lvl w:ilvl="0" w:tentative="0">
      <w:start w:val="1"/>
      <w:numFmt w:val="decimal"/>
      <w:lvlText w:val="%1."/>
      <w:lvlJc w:val="left"/>
      <w:pPr>
        <w:ind w:left="425" w:hanging="425"/>
      </w:pPr>
      <w:rPr>
        <w:rFonts w:hint="default"/>
      </w:rPr>
    </w:lvl>
  </w:abstractNum>
  <w:abstractNum w:abstractNumId="2">
    <w:nsid w:val="E884FD2B"/>
    <w:multiLevelType w:val="singleLevel"/>
    <w:tmpl w:val="E884FD2B"/>
    <w:lvl w:ilvl="0" w:tentative="0">
      <w:start w:val="1"/>
      <w:numFmt w:val="decimal"/>
      <w:lvlText w:val="%1."/>
      <w:lvlJc w:val="left"/>
      <w:pPr>
        <w:ind w:left="425" w:hanging="425"/>
      </w:pPr>
      <w:rPr>
        <w:rFonts w:hint="default"/>
      </w:rPr>
    </w:lvl>
  </w:abstractNum>
  <w:abstractNum w:abstractNumId="3">
    <w:nsid w:val="0000000A"/>
    <w:multiLevelType w:val="multilevel"/>
    <w:tmpl w:val="0000000A"/>
    <w:lvl w:ilvl="0" w:tentative="0">
      <w:start w:val="1"/>
      <w:numFmt w:val="decimal"/>
      <w:pStyle w:val="22"/>
      <w:suff w:val="nothing"/>
      <w:lvlText w:val="%1　"/>
      <w:lvlJc w:val="left"/>
      <w:pPr>
        <w:ind w:left="709" w:firstLine="0"/>
      </w:pPr>
      <w:rPr>
        <w:rFonts w:hint="eastAsia" w:ascii="黑体" w:hAnsi="Times New Roman" w:eastAsia="黑体" w:cs="Times New Roman"/>
        <w:b w:val="0"/>
        <w:i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090A30B6"/>
    <w:multiLevelType w:val="singleLevel"/>
    <w:tmpl w:val="090A30B6"/>
    <w:lvl w:ilvl="0" w:tentative="0">
      <w:start w:val="1"/>
      <w:numFmt w:val="decimal"/>
      <w:lvlText w:val="%1."/>
      <w:lvlJc w:val="left"/>
      <w:pPr>
        <w:ind w:left="425" w:hanging="425"/>
      </w:pPr>
      <w:rPr>
        <w:rFonts w:hint="default"/>
      </w:r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4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1F2193F"/>
    <w:multiLevelType w:val="singleLevel"/>
    <w:tmpl w:val="21F2193F"/>
    <w:lvl w:ilvl="0" w:tentative="0">
      <w:start w:val="1"/>
      <w:numFmt w:val="decimal"/>
      <w:suff w:val="nothing"/>
      <w:lvlText w:val="%1、"/>
      <w:lvlJc w:val="left"/>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2"/>
      <w:numFmt w:val="decimal"/>
      <w:pStyle w:val="28"/>
      <w:suff w:val="nothing"/>
      <w:lvlText w:val="%1%2　"/>
      <w:lvlJc w:val="left"/>
      <w:pPr>
        <w:ind w:left="0" w:firstLine="0"/>
      </w:pPr>
      <w:rPr>
        <w:rFonts w:hint="eastAsia" w:ascii="黑体"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3BD9922"/>
    <w:multiLevelType w:val="singleLevel"/>
    <w:tmpl w:val="73BD9922"/>
    <w:lvl w:ilvl="0" w:tentative="0">
      <w:start w:val="1"/>
      <w:numFmt w:val="decimal"/>
      <w:suff w:val="nothing"/>
      <w:lvlText w:val="（%1）"/>
      <w:lvlJc w:val="left"/>
    </w:lvl>
  </w:abstractNum>
  <w:abstractNum w:abstractNumId="9">
    <w:nsid w:val="75978488"/>
    <w:multiLevelType w:val="singleLevel"/>
    <w:tmpl w:val="75978488"/>
    <w:lvl w:ilvl="0" w:tentative="0">
      <w:start w:val="6"/>
      <w:numFmt w:val="chineseCounting"/>
      <w:suff w:val="nothing"/>
      <w:lvlText w:val="%1、"/>
      <w:lvlJc w:val="left"/>
      <w:rPr>
        <w:rFonts w:hint="eastAsia"/>
      </w:rPr>
    </w:lvl>
  </w:abstractNum>
  <w:num w:numId="1">
    <w:abstractNumId w:val="5"/>
  </w:num>
  <w:num w:numId="2">
    <w:abstractNumId w:val="3"/>
  </w:num>
  <w:num w:numId="3">
    <w:abstractNumId w:val="7"/>
  </w:num>
  <w:num w:numId="4">
    <w:abstractNumId w:val="8"/>
  </w:num>
  <w:num w:numId="5">
    <w:abstractNumId w:val="0"/>
  </w:num>
  <w:num w:numId="6">
    <w:abstractNumId w:val="9"/>
  </w:num>
  <w:num w:numId="7">
    <w:abstractNumId w:val="6"/>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ZDZkNjFhOTYzZmUxNzc4NmFhOTEwNDM0MDQ5ZmQifQ=="/>
  </w:docVars>
  <w:rsids>
    <w:rsidRoot w:val="00B01537"/>
    <w:rsid w:val="00002A3B"/>
    <w:rsid w:val="000103DA"/>
    <w:rsid w:val="00011B8C"/>
    <w:rsid w:val="00014410"/>
    <w:rsid w:val="0001574D"/>
    <w:rsid w:val="0002770A"/>
    <w:rsid w:val="00027744"/>
    <w:rsid w:val="00035080"/>
    <w:rsid w:val="000353C1"/>
    <w:rsid w:val="00037092"/>
    <w:rsid w:val="00037602"/>
    <w:rsid w:val="0004214B"/>
    <w:rsid w:val="000453F4"/>
    <w:rsid w:val="0004598A"/>
    <w:rsid w:val="00050770"/>
    <w:rsid w:val="000611DE"/>
    <w:rsid w:val="000649F4"/>
    <w:rsid w:val="00066ED4"/>
    <w:rsid w:val="00071FF0"/>
    <w:rsid w:val="00077519"/>
    <w:rsid w:val="00081E5C"/>
    <w:rsid w:val="00083C52"/>
    <w:rsid w:val="00087753"/>
    <w:rsid w:val="00090F57"/>
    <w:rsid w:val="00091507"/>
    <w:rsid w:val="00094263"/>
    <w:rsid w:val="00096641"/>
    <w:rsid w:val="000A45B6"/>
    <w:rsid w:val="000A58A1"/>
    <w:rsid w:val="000B3497"/>
    <w:rsid w:val="000B77EF"/>
    <w:rsid w:val="000C0F8C"/>
    <w:rsid w:val="000C3735"/>
    <w:rsid w:val="000C5551"/>
    <w:rsid w:val="000D4F75"/>
    <w:rsid w:val="000D59B8"/>
    <w:rsid w:val="000D6082"/>
    <w:rsid w:val="000E0884"/>
    <w:rsid w:val="000E0B82"/>
    <w:rsid w:val="000E1E3C"/>
    <w:rsid w:val="000E200B"/>
    <w:rsid w:val="000F6E2B"/>
    <w:rsid w:val="001006D7"/>
    <w:rsid w:val="0010773A"/>
    <w:rsid w:val="00112BC0"/>
    <w:rsid w:val="0011368D"/>
    <w:rsid w:val="001159A0"/>
    <w:rsid w:val="00123DFB"/>
    <w:rsid w:val="00123FD8"/>
    <w:rsid w:val="0012754D"/>
    <w:rsid w:val="00134A0A"/>
    <w:rsid w:val="00142DAF"/>
    <w:rsid w:val="00144348"/>
    <w:rsid w:val="00147F3A"/>
    <w:rsid w:val="00150F1B"/>
    <w:rsid w:val="00154B7C"/>
    <w:rsid w:val="0015584B"/>
    <w:rsid w:val="001600C1"/>
    <w:rsid w:val="00160D0F"/>
    <w:rsid w:val="0016473E"/>
    <w:rsid w:val="00164854"/>
    <w:rsid w:val="00171A82"/>
    <w:rsid w:val="001728B4"/>
    <w:rsid w:val="00173F0B"/>
    <w:rsid w:val="001750C8"/>
    <w:rsid w:val="001834BA"/>
    <w:rsid w:val="00186B04"/>
    <w:rsid w:val="00192722"/>
    <w:rsid w:val="00197096"/>
    <w:rsid w:val="001A3916"/>
    <w:rsid w:val="001A6D1B"/>
    <w:rsid w:val="001B1D8C"/>
    <w:rsid w:val="001B3860"/>
    <w:rsid w:val="001B46DB"/>
    <w:rsid w:val="001B5C28"/>
    <w:rsid w:val="001B6101"/>
    <w:rsid w:val="001B7DEC"/>
    <w:rsid w:val="001C1D4E"/>
    <w:rsid w:val="001C318C"/>
    <w:rsid w:val="001C4E40"/>
    <w:rsid w:val="001C4FC6"/>
    <w:rsid w:val="001C6AF8"/>
    <w:rsid w:val="001D4451"/>
    <w:rsid w:val="001D44B7"/>
    <w:rsid w:val="001D4ED6"/>
    <w:rsid w:val="001D539E"/>
    <w:rsid w:val="001E3495"/>
    <w:rsid w:val="001E3AD4"/>
    <w:rsid w:val="001E495D"/>
    <w:rsid w:val="001E5429"/>
    <w:rsid w:val="001E6696"/>
    <w:rsid w:val="001E6B71"/>
    <w:rsid w:val="001E7D0B"/>
    <w:rsid w:val="001F2C70"/>
    <w:rsid w:val="001F789F"/>
    <w:rsid w:val="0020271E"/>
    <w:rsid w:val="00203B08"/>
    <w:rsid w:val="0020496F"/>
    <w:rsid w:val="002151D8"/>
    <w:rsid w:val="00217613"/>
    <w:rsid w:val="0022205E"/>
    <w:rsid w:val="00222806"/>
    <w:rsid w:val="00233447"/>
    <w:rsid w:val="002347B8"/>
    <w:rsid w:val="00240E33"/>
    <w:rsid w:val="00240E87"/>
    <w:rsid w:val="0024400C"/>
    <w:rsid w:val="00250260"/>
    <w:rsid w:val="002557DF"/>
    <w:rsid w:val="002636C9"/>
    <w:rsid w:val="00267D05"/>
    <w:rsid w:val="00271FAF"/>
    <w:rsid w:val="002759E6"/>
    <w:rsid w:val="00277D3D"/>
    <w:rsid w:val="002806F8"/>
    <w:rsid w:val="00281804"/>
    <w:rsid w:val="00283F84"/>
    <w:rsid w:val="00285CD4"/>
    <w:rsid w:val="00291872"/>
    <w:rsid w:val="002A1674"/>
    <w:rsid w:val="002A4590"/>
    <w:rsid w:val="002A52CE"/>
    <w:rsid w:val="002A6B7F"/>
    <w:rsid w:val="002A71BE"/>
    <w:rsid w:val="002C098D"/>
    <w:rsid w:val="002C6426"/>
    <w:rsid w:val="002D0DC0"/>
    <w:rsid w:val="002D317F"/>
    <w:rsid w:val="002D45EE"/>
    <w:rsid w:val="002E28AD"/>
    <w:rsid w:val="002E48BB"/>
    <w:rsid w:val="002E5984"/>
    <w:rsid w:val="002F0FCB"/>
    <w:rsid w:val="002F1FB8"/>
    <w:rsid w:val="002F3D69"/>
    <w:rsid w:val="002F4F16"/>
    <w:rsid w:val="003001C4"/>
    <w:rsid w:val="0030073E"/>
    <w:rsid w:val="00301FC3"/>
    <w:rsid w:val="00304F80"/>
    <w:rsid w:val="00310A17"/>
    <w:rsid w:val="00310A82"/>
    <w:rsid w:val="00310C3B"/>
    <w:rsid w:val="003168FA"/>
    <w:rsid w:val="00316A6E"/>
    <w:rsid w:val="0032100F"/>
    <w:rsid w:val="00324070"/>
    <w:rsid w:val="00332F5C"/>
    <w:rsid w:val="00334D4C"/>
    <w:rsid w:val="00341479"/>
    <w:rsid w:val="00341C96"/>
    <w:rsid w:val="00344890"/>
    <w:rsid w:val="003464AF"/>
    <w:rsid w:val="00347150"/>
    <w:rsid w:val="00361F4D"/>
    <w:rsid w:val="00364BEC"/>
    <w:rsid w:val="003678C6"/>
    <w:rsid w:val="00367E73"/>
    <w:rsid w:val="00371A09"/>
    <w:rsid w:val="00371F56"/>
    <w:rsid w:val="00372C00"/>
    <w:rsid w:val="00375C0F"/>
    <w:rsid w:val="003762D6"/>
    <w:rsid w:val="00377C5F"/>
    <w:rsid w:val="00385BC6"/>
    <w:rsid w:val="00390BE8"/>
    <w:rsid w:val="003912A4"/>
    <w:rsid w:val="0039214F"/>
    <w:rsid w:val="00392957"/>
    <w:rsid w:val="00393D10"/>
    <w:rsid w:val="00394E2D"/>
    <w:rsid w:val="003A10C6"/>
    <w:rsid w:val="003A214D"/>
    <w:rsid w:val="003A4850"/>
    <w:rsid w:val="003A4EAE"/>
    <w:rsid w:val="003B0271"/>
    <w:rsid w:val="003B1505"/>
    <w:rsid w:val="003C4673"/>
    <w:rsid w:val="003C5A5A"/>
    <w:rsid w:val="003D3090"/>
    <w:rsid w:val="003D3656"/>
    <w:rsid w:val="003D5B28"/>
    <w:rsid w:val="003D601F"/>
    <w:rsid w:val="003D7AD5"/>
    <w:rsid w:val="003E1415"/>
    <w:rsid w:val="003E1FCD"/>
    <w:rsid w:val="003E68BC"/>
    <w:rsid w:val="003F05A7"/>
    <w:rsid w:val="003F1543"/>
    <w:rsid w:val="003F20D8"/>
    <w:rsid w:val="003F3084"/>
    <w:rsid w:val="003F3E88"/>
    <w:rsid w:val="003F5068"/>
    <w:rsid w:val="00401139"/>
    <w:rsid w:val="00402285"/>
    <w:rsid w:val="00403989"/>
    <w:rsid w:val="00404452"/>
    <w:rsid w:val="0040458B"/>
    <w:rsid w:val="00406EA7"/>
    <w:rsid w:val="0040795B"/>
    <w:rsid w:val="00407E88"/>
    <w:rsid w:val="00411C0F"/>
    <w:rsid w:val="0041274C"/>
    <w:rsid w:val="004171EF"/>
    <w:rsid w:val="0042088A"/>
    <w:rsid w:val="00422645"/>
    <w:rsid w:val="004279FA"/>
    <w:rsid w:val="00430475"/>
    <w:rsid w:val="004340B9"/>
    <w:rsid w:val="004373DF"/>
    <w:rsid w:val="004424A0"/>
    <w:rsid w:val="004478DE"/>
    <w:rsid w:val="00457FCA"/>
    <w:rsid w:val="004651F1"/>
    <w:rsid w:val="0047465B"/>
    <w:rsid w:val="00475869"/>
    <w:rsid w:val="00477440"/>
    <w:rsid w:val="00480E37"/>
    <w:rsid w:val="0048409A"/>
    <w:rsid w:val="0048470E"/>
    <w:rsid w:val="00485DCC"/>
    <w:rsid w:val="00486BC7"/>
    <w:rsid w:val="00493E80"/>
    <w:rsid w:val="00497826"/>
    <w:rsid w:val="004A0297"/>
    <w:rsid w:val="004A390B"/>
    <w:rsid w:val="004A5E4C"/>
    <w:rsid w:val="004A770D"/>
    <w:rsid w:val="004B2869"/>
    <w:rsid w:val="004B2E42"/>
    <w:rsid w:val="004B5EF3"/>
    <w:rsid w:val="004B721F"/>
    <w:rsid w:val="004B7EB9"/>
    <w:rsid w:val="004C0243"/>
    <w:rsid w:val="004C124A"/>
    <w:rsid w:val="004C4CD2"/>
    <w:rsid w:val="004C5A61"/>
    <w:rsid w:val="004C6546"/>
    <w:rsid w:val="004C72E9"/>
    <w:rsid w:val="004D1663"/>
    <w:rsid w:val="004D24C2"/>
    <w:rsid w:val="004D3331"/>
    <w:rsid w:val="004D7522"/>
    <w:rsid w:val="004D75A0"/>
    <w:rsid w:val="004E0F50"/>
    <w:rsid w:val="004E5106"/>
    <w:rsid w:val="004E60BC"/>
    <w:rsid w:val="004E6F00"/>
    <w:rsid w:val="004F00AC"/>
    <w:rsid w:val="004F10DF"/>
    <w:rsid w:val="004F1EDE"/>
    <w:rsid w:val="004F3021"/>
    <w:rsid w:val="004F68F4"/>
    <w:rsid w:val="00500150"/>
    <w:rsid w:val="005004FC"/>
    <w:rsid w:val="00507D3E"/>
    <w:rsid w:val="00510B12"/>
    <w:rsid w:val="00511824"/>
    <w:rsid w:val="005177B8"/>
    <w:rsid w:val="0052520B"/>
    <w:rsid w:val="0053034C"/>
    <w:rsid w:val="00530D29"/>
    <w:rsid w:val="00534F5D"/>
    <w:rsid w:val="00535E1D"/>
    <w:rsid w:val="00536D8A"/>
    <w:rsid w:val="00537F83"/>
    <w:rsid w:val="00544296"/>
    <w:rsid w:val="005449E6"/>
    <w:rsid w:val="00547D0C"/>
    <w:rsid w:val="005533B7"/>
    <w:rsid w:val="0055560C"/>
    <w:rsid w:val="005558CC"/>
    <w:rsid w:val="00570EEA"/>
    <w:rsid w:val="00574A97"/>
    <w:rsid w:val="0057518B"/>
    <w:rsid w:val="00575302"/>
    <w:rsid w:val="00577E9B"/>
    <w:rsid w:val="0058047F"/>
    <w:rsid w:val="005826E0"/>
    <w:rsid w:val="00582A65"/>
    <w:rsid w:val="00584E39"/>
    <w:rsid w:val="005871D5"/>
    <w:rsid w:val="005876EF"/>
    <w:rsid w:val="00592B05"/>
    <w:rsid w:val="005948B3"/>
    <w:rsid w:val="00597DA7"/>
    <w:rsid w:val="005A3C6C"/>
    <w:rsid w:val="005A46F8"/>
    <w:rsid w:val="005A538F"/>
    <w:rsid w:val="005A72E5"/>
    <w:rsid w:val="005A7B78"/>
    <w:rsid w:val="005B15F9"/>
    <w:rsid w:val="005B1AA9"/>
    <w:rsid w:val="005C1D25"/>
    <w:rsid w:val="005C4B87"/>
    <w:rsid w:val="005D1AD9"/>
    <w:rsid w:val="005D6606"/>
    <w:rsid w:val="005D6E9A"/>
    <w:rsid w:val="005E16FC"/>
    <w:rsid w:val="005E757A"/>
    <w:rsid w:val="005E75AF"/>
    <w:rsid w:val="005F799C"/>
    <w:rsid w:val="00606EBB"/>
    <w:rsid w:val="006164D7"/>
    <w:rsid w:val="00616CF1"/>
    <w:rsid w:val="00617FEA"/>
    <w:rsid w:val="006317CC"/>
    <w:rsid w:val="006401DB"/>
    <w:rsid w:val="00641333"/>
    <w:rsid w:val="00642902"/>
    <w:rsid w:val="00642ECE"/>
    <w:rsid w:val="00643006"/>
    <w:rsid w:val="006433F5"/>
    <w:rsid w:val="00643FCB"/>
    <w:rsid w:val="006546B3"/>
    <w:rsid w:val="00655B31"/>
    <w:rsid w:val="006565B2"/>
    <w:rsid w:val="00657C24"/>
    <w:rsid w:val="0066058C"/>
    <w:rsid w:val="0066089D"/>
    <w:rsid w:val="00660CF4"/>
    <w:rsid w:val="006611DE"/>
    <w:rsid w:val="0066278F"/>
    <w:rsid w:val="00663F48"/>
    <w:rsid w:val="00664123"/>
    <w:rsid w:val="006641FA"/>
    <w:rsid w:val="0066565B"/>
    <w:rsid w:val="00665E21"/>
    <w:rsid w:val="00670A4C"/>
    <w:rsid w:val="00673AA4"/>
    <w:rsid w:val="00673F80"/>
    <w:rsid w:val="006763F4"/>
    <w:rsid w:val="00676E0F"/>
    <w:rsid w:val="00676E29"/>
    <w:rsid w:val="00677EE9"/>
    <w:rsid w:val="00681C3F"/>
    <w:rsid w:val="00681CCD"/>
    <w:rsid w:val="00682743"/>
    <w:rsid w:val="0068329B"/>
    <w:rsid w:val="00685F16"/>
    <w:rsid w:val="0069088F"/>
    <w:rsid w:val="00692752"/>
    <w:rsid w:val="00692996"/>
    <w:rsid w:val="006940FF"/>
    <w:rsid w:val="00695A3E"/>
    <w:rsid w:val="00696B93"/>
    <w:rsid w:val="006A2BA5"/>
    <w:rsid w:val="006A3DA6"/>
    <w:rsid w:val="006A7FAE"/>
    <w:rsid w:val="006B0D22"/>
    <w:rsid w:val="006B7E42"/>
    <w:rsid w:val="006C4C5A"/>
    <w:rsid w:val="006C7468"/>
    <w:rsid w:val="006D525E"/>
    <w:rsid w:val="006E2A94"/>
    <w:rsid w:val="006E554F"/>
    <w:rsid w:val="006F791A"/>
    <w:rsid w:val="006F7BD7"/>
    <w:rsid w:val="00721351"/>
    <w:rsid w:val="0072440B"/>
    <w:rsid w:val="00726659"/>
    <w:rsid w:val="00726AC7"/>
    <w:rsid w:val="0072793F"/>
    <w:rsid w:val="007351A8"/>
    <w:rsid w:val="007376CC"/>
    <w:rsid w:val="00740768"/>
    <w:rsid w:val="007407F8"/>
    <w:rsid w:val="00740B16"/>
    <w:rsid w:val="00743274"/>
    <w:rsid w:val="00744045"/>
    <w:rsid w:val="00746B4D"/>
    <w:rsid w:val="00753079"/>
    <w:rsid w:val="007603B1"/>
    <w:rsid w:val="00762A73"/>
    <w:rsid w:val="007676B4"/>
    <w:rsid w:val="00772A92"/>
    <w:rsid w:val="00773492"/>
    <w:rsid w:val="00773857"/>
    <w:rsid w:val="007744F0"/>
    <w:rsid w:val="007746F3"/>
    <w:rsid w:val="0078024B"/>
    <w:rsid w:val="0078060E"/>
    <w:rsid w:val="00780F70"/>
    <w:rsid w:val="00781880"/>
    <w:rsid w:val="00787FE3"/>
    <w:rsid w:val="00790BD0"/>
    <w:rsid w:val="007A0A8C"/>
    <w:rsid w:val="007A0F26"/>
    <w:rsid w:val="007A1DDC"/>
    <w:rsid w:val="007A1E30"/>
    <w:rsid w:val="007A3DD2"/>
    <w:rsid w:val="007A4B81"/>
    <w:rsid w:val="007A5FA5"/>
    <w:rsid w:val="007A68A7"/>
    <w:rsid w:val="007A76DA"/>
    <w:rsid w:val="007B1A99"/>
    <w:rsid w:val="007B3B35"/>
    <w:rsid w:val="007C0FAF"/>
    <w:rsid w:val="007C2426"/>
    <w:rsid w:val="007C70CF"/>
    <w:rsid w:val="007D05D7"/>
    <w:rsid w:val="007D5953"/>
    <w:rsid w:val="007D6D46"/>
    <w:rsid w:val="007E17E4"/>
    <w:rsid w:val="007E670E"/>
    <w:rsid w:val="007F711F"/>
    <w:rsid w:val="00801F2E"/>
    <w:rsid w:val="00807B75"/>
    <w:rsid w:val="00811407"/>
    <w:rsid w:val="00823DB3"/>
    <w:rsid w:val="00824FC2"/>
    <w:rsid w:val="00826964"/>
    <w:rsid w:val="008333B0"/>
    <w:rsid w:val="008369C0"/>
    <w:rsid w:val="00843BE8"/>
    <w:rsid w:val="00846517"/>
    <w:rsid w:val="00854E5F"/>
    <w:rsid w:val="008615EE"/>
    <w:rsid w:val="00862E5A"/>
    <w:rsid w:val="00870CA2"/>
    <w:rsid w:val="00872DC0"/>
    <w:rsid w:val="00880169"/>
    <w:rsid w:val="00881247"/>
    <w:rsid w:val="008847ED"/>
    <w:rsid w:val="0089272C"/>
    <w:rsid w:val="00894BB7"/>
    <w:rsid w:val="00894D31"/>
    <w:rsid w:val="008A0650"/>
    <w:rsid w:val="008A0BAC"/>
    <w:rsid w:val="008B0D33"/>
    <w:rsid w:val="008B272C"/>
    <w:rsid w:val="008B4210"/>
    <w:rsid w:val="008C44F4"/>
    <w:rsid w:val="008D0ADE"/>
    <w:rsid w:val="008D19BC"/>
    <w:rsid w:val="008D37F0"/>
    <w:rsid w:val="008D68C8"/>
    <w:rsid w:val="008D7713"/>
    <w:rsid w:val="008E0A0C"/>
    <w:rsid w:val="008E1B41"/>
    <w:rsid w:val="008E2662"/>
    <w:rsid w:val="008E38E8"/>
    <w:rsid w:val="008F669B"/>
    <w:rsid w:val="008F76DE"/>
    <w:rsid w:val="008F7902"/>
    <w:rsid w:val="0091039D"/>
    <w:rsid w:val="00913006"/>
    <w:rsid w:val="00922CED"/>
    <w:rsid w:val="0092318E"/>
    <w:rsid w:val="00923CBA"/>
    <w:rsid w:val="0093681C"/>
    <w:rsid w:val="00944EF1"/>
    <w:rsid w:val="009501F8"/>
    <w:rsid w:val="009566D1"/>
    <w:rsid w:val="00961384"/>
    <w:rsid w:val="00964276"/>
    <w:rsid w:val="00966A86"/>
    <w:rsid w:val="00966C1C"/>
    <w:rsid w:val="009702CC"/>
    <w:rsid w:val="00972267"/>
    <w:rsid w:val="00972B49"/>
    <w:rsid w:val="0097693F"/>
    <w:rsid w:val="0098099E"/>
    <w:rsid w:val="00981216"/>
    <w:rsid w:val="009812EF"/>
    <w:rsid w:val="00981E11"/>
    <w:rsid w:val="00991DBE"/>
    <w:rsid w:val="00992C91"/>
    <w:rsid w:val="00994DDA"/>
    <w:rsid w:val="0099782D"/>
    <w:rsid w:val="009A14F0"/>
    <w:rsid w:val="009A4E30"/>
    <w:rsid w:val="009A5CC2"/>
    <w:rsid w:val="009A6280"/>
    <w:rsid w:val="009B6898"/>
    <w:rsid w:val="009C36CF"/>
    <w:rsid w:val="009C40E0"/>
    <w:rsid w:val="009C7B29"/>
    <w:rsid w:val="009D18F1"/>
    <w:rsid w:val="009D3F16"/>
    <w:rsid w:val="009D485D"/>
    <w:rsid w:val="009D634F"/>
    <w:rsid w:val="009D73A3"/>
    <w:rsid w:val="009E1364"/>
    <w:rsid w:val="009E391B"/>
    <w:rsid w:val="009E3CD5"/>
    <w:rsid w:val="009E4046"/>
    <w:rsid w:val="009E4BC1"/>
    <w:rsid w:val="009F6AE2"/>
    <w:rsid w:val="009F7DA6"/>
    <w:rsid w:val="00A03287"/>
    <w:rsid w:val="00A0497E"/>
    <w:rsid w:val="00A12DCF"/>
    <w:rsid w:val="00A15058"/>
    <w:rsid w:val="00A1550C"/>
    <w:rsid w:val="00A21BD4"/>
    <w:rsid w:val="00A22E50"/>
    <w:rsid w:val="00A232A2"/>
    <w:rsid w:val="00A24214"/>
    <w:rsid w:val="00A248F3"/>
    <w:rsid w:val="00A26AAD"/>
    <w:rsid w:val="00A35EFC"/>
    <w:rsid w:val="00A37928"/>
    <w:rsid w:val="00A428F0"/>
    <w:rsid w:val="00A42E79"/>
    <w:rsid w:val="00A519EE"/>
    <w:rsid w:val="00A52338"/>
    <w:rsid w:val="00A55E4C"/>
    <w:rsid w:val="00A56E78"/>
    <w:rsid w:val="00A63DEC"/>
    <w:rsid w:val="00A67C92"/>
    <w:rsid w:val="00A706DB"/>
    <w:rsid w:val="00A70EAB"/>
    <w:rsid w:val="00A71C4D"/>
    <w:rsid w:val="00A73355"/>
    <w:rsid w:val="00A842D3"/>
    <w:rsid w:val="00A84DE9"/>
    <w:rsid w:val="00A917BC"/>
    <w:rsid w:val="00A919AA"/>
    <w:rsid w:val="00AA0E54"/>
    <w:rsid w:val="00AA16DC"/>
    <w:rsid w:val="00AA4897"/>
    <w:rsid w:val="00AA5BDE"/>
    <w:rsid w:val="00AA69B1"/>
    <w:rsid w:val="00AA7DEA"/>
    <w:rsid w:val="00AB26CE"/>
    <w:rsid w:val="00AC0B99"/>
    <w:rsid w:val="00AC15E2"/>
    <w:rsid w:val="00AC1EC4"/>
    <w:rsid w:val="00AC3BBC"/>
    <w:rsid w:val="00AD25EF"/>
    <w:rsid w:val="00AD272A"/>
    <w:rsid w:val="00AE176F"/>
    <w:rsid w:val="00AE21A8"/>
    <w:rsid w:val="00AE53D0"/>
    <w:rsid w:val="00AE5DBE"/>
    <w:rsid w:val="00AE7AAB"/>
    <w:rsid w:val="00AF2B4A"/>
    <w:rsid w:val="00AF3A69"/>
    <w:rsid w:val="00AF6752"/>
    <w:rsid w:val="00AF7E4A"/>
    <w:rsid w:val="00B01537"/>
    <w:rsid w:val="00B031FF"/>
    <w:rsid w:val="00B06237"/>
    <w:rsid w:val="00B06E4B"/>
    <w:rsid w:val="00B12C33"/>
    <w:rsid w:val="00B22895"/>
    <w:rsid w:val="00B328A7"/>
    <w:rsid w:val="00B33417"/>
    <w:rsid w:val="00B3767B"/>
    <w:rsid w:val="00B41FE2"/>
    <w:rsid w:val="00B4297E"/>
    <w:rsid w:val="00B43E0B"/>
    <w:rsid w:val="00B46CD7"/>
    <w:rsid w:val="00B506AB"/>
    <w:rsid w:val="00B540F2"/>
    <w:rsid w:val="00B55F44"/>
    <w:rsid w:val="00B60932"/>
    <w:rsid w:val="00B654F8"/>
    <w:rsid w:val="00B66C8F"/>
    <w:rsid w:val="00B7021D"/>
    <w:rsid w:val="00B71526"/>
    <w:rsid w:val="00B74E62"/>
    <w:rsid w:val="00B760E9"/>
    <w:rsid w:val="00B775B6"/>
    <w:rsid w:val="00B81CC6"/>
    <w:rsid w:val="00B82243"/>
    <w:rsid w:val="00B8224E"/>
    <w:rsid w:val="00B82477"/>
    <w:rsid w:val="00B842FD"/>
    <w:rsid w:val="00B8784D"/>
    <w:rsid w:val="00B90F95"/>
    <w:rsid w:val="00B957D2"/>
    <w:rsid w:val="00B97FA4"/>
    <w:rsid w:val="00BA0C37"/>
    <w:rsid w:val="00BB6DA5"/>
    <w:rsid w:val="00BC01D3"/>
    <w:rsid w:val="00BC0CBF"/>
    <w:rsid w:val="00BC0E42"/>
    <w:rsid w:val="00BC3982"/>
    <w:rsid w:val="00BC6E78"/>
    <w:rsid w:val="00BD0AF0"/>
    <w:rsid w:val="00BD1143"/>
    <w:rsid w:val="00BD1666"/>
    <w:rsid w:val="00BD4694"/>
    <w:rsid w:val="00BD48F9"/>
    <w:rsid w:val="00BD5EE6"/>
    <w:rsid w:val="00BE07BA"/>
    <w:rsid w:val="00BE2934"/>
    <w:rsid w:val="00BE3AA4"/>
    <w:rsid w:val="00BE76D0"/>
    <w:rsid w:val="00BE796F"/>
    <w:rsid w:val="00BF10E7"/>
    <w:rsid w:val="00BF52C0"/>
    <w:rsid w:val="00C014B2"/>
    <w:rsid w:val="00C02E9C"/>
    <w:rsid w:val="00C03F8B"/>
    <w:rsid w:val="00C06F96"/>
    <w:rsid w:val="00C10D88"/>
    <w:rsid w:val="00C112F0"/>
    <w:rsid w:val="00C1451B"/>
    <w:rsid w:val="00C175B2"/>
    <w:rsid w:val="00C20B66"/>
    <w:rsid w:val="00C20F69"/>
    <w:rsid w:val="00C222D6"/>
    <w:rsid w:val="00C2642A"/>
    <w:rsid w:val="00C276D5"/>
    <w:rsid w:val="00C46906"/>
    <w:rsid w:val="00C5083A"/>
    <w:rsid w:val="00C54578"/>
    <w:rsid w:val="00C61B39"/>
    <w:rsid w:val="00C626ED"/>
    <w:rsid w:val="00C632D2"/>
    <w:rsid w:val="00C6347B"/>
    <w:rsid w:val="00C653D8"/>
    <w:rsid w:val="00C70FA9"/>
    <w:rsid w:val="00C82990"/>
    <w:rsid w:val="00C84AAA"/>
    <w:rsid w:val="00C90DC8"/>
    <w:rsid w:val="00C90ED5"/>
    <w:rsid w:val="00C953D8"/>
    <w:rsid w:val="00CB216C"/>
    <w:rsid w:val="00CB2E92"/>
    <w:rsid w:val="00CB767E"/>
    <w:rsid w:val="00CB7CD1"/>
    <w:rsid w:val="00CC003D"/>
    <w:rsid w:val="00CC19D1"/>
    <w:rsid w:val="00CC369D"/>
    <w:rsid w:val="00CC5DAC"/>
    <w:rsid w:val="00CD15A3"/>
    <w:rsid w:val="00CD773D"/>
    <w:rsid w:val="00CD7773"/>
    <w:rsid w:val="00CE1B40"/>
    <w:rsid w:val="00CE64F9"/>
    <w:rsid w:val="00CF681E"/>
    <w:rsid w:val="00CF7FA5"/>
    <w:rsid w:val="00D0174D"/>
    <w:rsid w:val="00D0541B"/>
    <w:rsid w:val="00D05B99"/>
    <w:rsid w:val="00D066C9"/>
    <w:rsid w:val="00D1044E"/>
    <w:rsid w:val="00D1417F"/>
    <w:rsid w:val="00D20045"/>
    <w:rsid w:val="00D20D9F"/>
    <w:rsid w:val="00D270F5"/>
    <w:rsid w:val="00D302A7"/>
    <w:rsid w:val="00D306E1"/>
    <w:rsid w:val="00D33896"/>
    <w:rsid w:val="00D36298"/>
    <w:rsid w:val="00D3778D"/>
    <w:rsid w:val="00D41470"/>
    <w:rsid w:val="00D445F0"/>
    <w:rsid w:val="00D45699"/>
    <w:rsid w:val="00D515CF"/>
    <w:rsid w:val="00D54C38"/>
    <w:rsid w:val="00D552EE"/>
    <w:rsid w:val="00D60F3E"/>
    <w:rsid w:val="00D62B70"/>
    <w:rsid w:val="00D75AE1"/>
    <w:rsid w:val="00D85BBC"/>
    <w:rsid w:val="00D85D3D"/>
    <w:rsid w:val="00D9239C"/>
    <w:rsid w:val="00D94EDB"/>
    <w:rsid w:val="00D96557"/>
    <w:rsid w:val="00DA44D6"/>
    <w:rsid w:val="00DA4C46"/>
    <w:rsid w:val="00DA7C3F"/>
    <w:rsid w:val="00DB1984"/>
    <w:rsid w:val="00DB1E29"/>
    <w:rsid w:val="00DB2FC2"/>
    <w:rsid w:val="00DB62DF"/>
    <w:rsid w:val="00DC00DC"/>
    <w:rsid w:val="00DC1D72"/>
    <w:rsid w:val="00DC2C21"/>
    <w:rsid w:val="00DC456C"/>
    <w:rsid w:val="00DC6CE5"/>
    <w:rsid w:val="00DD0037"/>
    <w:rsid w:val="00DD0A74"/>
    <w:rsid w:val="00DD28C1"/>
    <w:rsid w:val="00DE00D9"/>
    <w:rsid w:val="00DE6413"/>
    <w:rsid w:val="00DE66EB"/>
    <w:rsid w:val="00DF26CD"/>
    <w:rsid w:val="00DF46A9"/>
    <w:rsid w:val="00E00ED2"/>
    <w:rsid w:val="00E01CF1"/>
    <w:rsid w:val="00E10415"/>
    <w:rsid w:val="00E11D04"/>
    <w:rsid w:val="00E13153"/>
    <w:rsid w:val="00E21C58"/>
    <w:rsid w:val="00E23252"/>
    <w:rsid w:val="00E242E5"/>
    <w:rsid w:val="00E24D5B"/>
    <w:rsid w:val="00E26A32"/>
    <w:rsid w:val="00E273DB"/>
    <w:rsid w:val="00E3605D"/>
    <w:rsid w:val="00E46C79"/>
    <w:rsid w:val="00E545D5"/>
    <w:rsid w:val="00E55683"/>
    <w:rsid w:val="00E706A6"/>
    <w:rsid w:val="00E71E3F"/>
    <w:rsid w:val="00E72348"/>
    <w:rsid w:val="00E75058"/>
    <w:rsid w:val="00E7673F"/>
    <w:rsid w:val="00E77E8D"/>
    <w:rsid w:val="00E81A88"/>
    <w:rsid w:val="00E81BBA"/>
    <w:rsid w:val="00E82290"/>
    <w:rsid w:val="00E85BA2"/>
    <w:rsid w:val="00E86B30"/>
    <w:rsid w:val="00E91924"/>
    <w:rsid w:val="00E92C40"/>
    <w:rsid w:val="00E947EF"/>
    <w:rsid w:val="00E954CC"/>
    <w:rsid w:val="00E96B62"/>
    <w:rsid w:val="00EA4F21"/>
    <w:rsid w:val="00EA5B48"/>
    <w:rsid w:val="00EB45EB"/>
    <w:rsid w:val="00EB666E"/>
    <w:rsid w:val="00EC0D1E"/>
    <w:rsid w:val="00EC63EA"/>
    <w:rsid w:val="00EC6C05"/>
    <w:rsid w:val="00ED4978"/>
    <w:rsid w:val="00ED4CCD"/>
    <w:rsid w:val="00EE0E93"/>
    <w:rsid w:val="00EE36B9"/>
    <w:rsid w:val="00EF62BF"/>
    <w:rsid w:val="00EF6CF2"/>
    <w:rsid w:val="00F12107"/>
    <w:rsid w:val="00F15BEE"/>
    <w:rsid w:val="00F16792"/>
    <w:rsid w:val="00F16915"/>
    <w:rsid w:val="00F1783D"/>
    <w:rsid w:val="00F21ED4"/>
    <w:rsid w:val="00F25757"/>
    <w:rsid w:val="00F272DA"/>
    <w:rsid w:val="00F35018"/>
    <w:rsid w:val="00F36DD5"/>
    <w:rsid w:val="00F402F5"/>
    <w:rsid w:val="00F511B2"/>
    <w:rsid w:val="00F51C55"/>
    <w:rsid w:val="00F55526"/>
    <w:rsid w:val="00F55EAC"/>
    <w:rsid w:val="00F625BB"/>
    <w:rsid w:val="00F668F2"/>
    <w:rsid w:val="00F705F7"/>
    <w:rsid w:val="00F74BC2"/>
    <w:rsid w:val="00F767C3"/>
    <w:rsid w:val="00F84448"/>
    <w:rsid w:val="00F90399"/>
    <w:rsid w:val="00F91893"/>
    <w:rsid w:val="00FA1843"/>
    <w:rsid w:val="00FA28A0"/>
    <w:rsid w:val="00FA5163"/>
    <w:rsid w:val="00FB4DF7"/>
    <w:rsid w:val="00FB5917"/>
    <w:rsid w:val="00FD088C"/>
    <w:rsid w:val="00FD1EEF"/>
    <w:rsid w:val="00FD2012"/>
    <w:rsid w:val="00FE1398"/>
    <w:rsid w:val="00FE6462"/>
    <w:rsid w:val="02D26985"/>
    <w:rsid w:val="03843EDF"/>
    <w:rsid w:val="0AC317E3"/>
    <w:rsid w:val="0B660F7D"/>
    <w:rsid w:val="0E713897"/>
    <w:rsid w:val="131274CE"/>
    <w:rsid w:val="15021BAD"/>
    <w:rsid w:val="1B943177"/>
    <w:rsid w:val="1D63420A"/>
    <w:rsid w:val="1FB90B55"/>
    <w:rsid w:val="20F077E9"/>
    <w:rsid w:val="22B3417C"/>
    <w:rsid w:val="26F24F32"/>
    <w:rsid w:val="2B083239"/>
    <w:rsid w:val="2C6873D5"/>
    <w:rsid w:val="2DE41F75"/>
    <w:rsid w:val="378D6FA0"/>
    <w:rsid w:val="381F1765"/>
    <w:rsid w:val="38E3651A"/>
    <w:rsid w:val="3A8378D8"/>
    <w:rsid w:val="3AC627B8"/>
    <w:rsid w:val="3B1E329A"/>
    <w:rsid w:val="41FC060B"/>
    <w:rsid w:val="50463AE6"/>
    <w:rsid w:val="52886CC3"/>
    <w:rsid w:val="53B50153"/>
    <w:rsid w:val="550F72F4"/>
    <w:rsid w:val="5AC10B8B"/>
    <w:rsid w:val="5ADD7D9A"/>
    <w:rsid w:val="62F7729A"/>
    <w:rsid w:val="647A1DAB"/>
    <w:rsid w:val="675A61D9"/>
    <w:rsid w:val="6E0D7BE7"/>
    <w:rsid w:val="74322129"/>
    <w:rsid w:val="744949CD"/>
    <w:rsid w:val="74A54C22"/>
    <w:rsid w:val="74D057C1"/>
    <w:rsid w:val="75342CD6"/>
    <w:rsid w:val="79125FA9"/>
    <w:rsid w:val="79E009B8"/>
    <w:rsid w:val="7D332B10"/>
    <w:rsid w:val="7E7A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Indent 2"/>
    <w:basedOn w:val="1"/>
    <w:qFormat/>
    <w:uiPriority w:val="0"/>
    <w:pPr>
      <w:ind w:firstLine="560" w:firstLineChars="200"/>
    </w:pPr>
    <w:rPr>
      <w:rFonts w:ascii="仿宋_GB2312" w:eastAsia="仿宋_GB2312"/>
      <w:sz w:val="2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5"/>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标准书眉_奇数页"/>
    <w:next w:val="1"/>
    <w:qFormat/>
    <w:uiPriority w:val="0"/>
    <w:pPr>
      <w:tabs>
        <w:tab w:val="center" w:pos="4154"/>
        <w:tab w:val="right" w:pos="8306"/>
      </w:tabs>
      <w:spacing w:after="220"/>
      <w:jc w:val="right"/>
    </w:pPr>
    <w:rPr>
      <w:rFonts w:ascii="黑体" w:hAnsi="Times New Roman" w:eastAsia="黑体" w:cs="Times New Roman"/>
      <w:szCs w:val="21"/>
      <w:lang w:val="en-US" w:eastAsia="zh-CN" w:bidi="ar-SA"/>
    </w:rPr>
  </w:style>
  <w:style w:type="paragraph" w:customStyle="1" w:styleId="20">
    <w:name w:val="一级条标题"/>
    <w:next w:val="1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章标题"/>
    <w:next w:val="18"/>
    <w:qFormat/>
    <w:uiPriority w:val="0"/>
    <w:pPr>
      <w:numPr>
        <w:ilvl w:val="0"/>
        <w:numId w:val="2"/>
      </w:numPr>
      <w:spacing w:before="312" w:beforeLines="100" w:after="312" w:afterLines="100"/>
      <w:jc w:val="both"/>
      <w:outlineLvl w:val="1"/>
    </w:pPr>
    <w:rPr>
      <w:rFonts w:ascii="黑体" w:hAnsi="Times New Roman" w:eastAsia="黑体" w:cs="Times New Roman"/>
      <w:lang w:val="en-US" w:eastAsia="zh-CN" w:bidi="ar-SA"/>
    </w:rPr>
  </w:style>
  <w:style w:type="paragraph" w:customStyle="1" w:styleId="23">
    <w:name w:val="二级条标题"/>
    <w:basedOn w:val="20"/>
    <w:next w:val="18"/>
    <w:qFormat/>
    <w:uiPriority w:val="0"/>
    <w:pPr>
      <w:numPr>
        <w:numId w:val="0"/>
      </w:numPr>
      <w:outlineLvl w:val="3"/>
    </w:pPr>
  </w:style>
  <w:style w:type="character" w:customStyle="1" w:styleId="24">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7"/>
    <w:semiHidden/>
    <w:qFormat/>
    <w:uiPriority w:val="99"/>
    <w:rPr>
      <w:rFonts w:asciiTheme="minorHAnsi" w:hAnsiTheme="minorHAnsi" w:eastAsiaTheme="minorEastAsia" w:cstheme="minorBidi"/>
      <w:b/>
      <w:bCs/>
      <w:kern w:val="2"/>
      <w:sz w:val="21"/>
      <w:szCs w:val="22"/>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标准文件_一级条标题"/>
    <w:basedOn w:val="28"/>
    <w:next w:val="21"/>
    <w:qFormat/>
    <w:uiPriority w:val="0"/>
    <w:pPr>
      <w:numPr>
        <w:ilvl w:val="2"/>
      </w:numPr>
      <w:spacing w:before="50" w:beforeLines="50" w:after="50" w:afterLines="50"/>
      <w:outlineLvl w:val="1"/>
    </w:pPr>
  </w:style>
  <w:style w:type="paragraph" w:customStyle="1" w:styleId="28">
    <w:name w:val="标准文件_章标题"/>
    <w:next w:val="2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11785</Words>
  <Characters>12318</Characters>
  <Lines>38</Lines>
  <Paragraphs>10</Paragraphs>
  <TotalTime>1</TotalTime>
  <ScaleCrop>false</ScaleCrop>
  <LinksUpToDate>false</LinksUpToDate>
  <CharactersWithSpaces>12353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2021-10-29T05:02:00Z</dcterms:created>
  <dc:creator>Lenovo User</dc:creator>
  <cp:lastModifiedBy>嘻嘻嘻嘻哈</cp:lastModifiedBy>
  <dcterms:modified xsi:type="dcterms:W3CDTF">2022-09-14T07:51:19Z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721E1ED5BE2540419965416DDFB41A87</vt:lpwstr>
  </property>
</Properties>
</file>