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宋体"/>
          <w:b/>
          <w:sz w:val="36"/>
          <w:szCs w:val="36"/>
        </w:rPr>
      </w:pPr>
      <w:r>
        <w:rPr>
          <w:rFonts w:hint="eastAsia" w:ascii="黑体" w:hAnsi="黑体" w:eastAsia="黑体" w:cs="宋体"/>
          <w:b/>
          <w:sz w:val="36"/>
          <w:szCs w:val="36"/>
        </w:rPr>
        <w:t>国家标准《电子商务逆向物流通用服务规范》</w:t>
      </w:r>
    </w:p>
    <w:p>
      <w:pPr>
        <w:jc w:val="center"/>
        <w:rPr>
          <w:rFonts w:ascii="黑体" w:hAnsi="黑体" w:eastAsia="黑体" w:cs="宋体"/>
          <w:b/>
          <w:sz w:val="36"/>
          <w:szCs w:val="36"/>
        </w:rPr>
      </w:pPr>
      <w:r>
        <w:rPr>
          <w:rFonts w:hint="eastAsia" w:ascii="黑体" w:hAnsi="黑体" w:eastAsia="黑体" w:cs="宋体"/>
          <w:b/>
          <w:sz w:val="36"/>
          <w:szCs w:val="36"/>
        </w:rPr>
        <w:t>（征求意见稿）编制说明</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一、项目来源</w:t>
      </w:r>
    </w:p>
    <w:p>
      <w:pPr>
        <w:pStyle w:val="15"/>
        <w:ind w:firstLine="56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highlight w:val="none"/>
          <w14:textFill>
            <w14:solidFill>
              <w14:schemeClr w14:val="tx1"/>
            </w14:solidFill>
          </w14:textFill>
        </w:rPr>
        <w:t>《电子商务逆向物流通用服务规范》</w:t>
      </w:r>
      <w:r>
        <w:rPr>
          <w:rFonts w:hint="eastAsia" w:hAnsi="宋体" w:cs="宋体"/>
          <w:color w:val="000000" w:themeColor="text1"/>
          <w:sz w:val="28"/>
          <w:szCs w:val="28"/>
          <w14:textFill>
            <w14:solidFill>
              <w14:schemeClr w14:val="tx1"/>
            </w14:solidFill>
          </w14:textFill>
        </w:rPr>
        <w:t>由全国物流标准化技术委员会（SAC/TC</w:t>
      </w:r>
      <w:r>
        <w:rPr>
          <w:rFonts w:hAnsi="宋体" w:cs="宋体"/>
          <w:color w:val="000000" w:themeColor="text1"/>
          <w:sz w:val="28"/>
          <w:szCs w:val="28"/>
          <w14:textFill>
            <w14:solidFill>
              <w14:schemeClr w14:val="tx1"/>
            </w14:solidFill>
          </w14:textFill>
        </w:rPr>
        <w:t xml:space="preserve"> </w:t>
      </w:r>
      <w:r>
        <w:rPr>
          <w:rFonts w:hint="eastAsia" w:hAnsi="宋体" w:cs="宋体"/>
          <w:color w:val="000000" w:themeColor="text1"/>
          <w:sz w:val="28"/>
          <w:szCs w:val="28"/>
          <w14:textFill>
            <w14:solidFill>
              <w14:schemeClr w14:val="tx1"/>
            </w14:solidFill>
          </w14:textFill>
        </w:rPr>
        <w:t>269）提出</w:t>
      </w:r>
      <w:r>
        <w:rPr>
          <w:rFonts w:hint="eastAsia" w:hAnsi="宋体" w:cs="宋体"/>
          <w:sz w:val="28"/>
          <w:szCs w:val="28"/>
        </w:rPr>
        <w:t>并归口</w:t>
      </w:r>
      <w:r>
        <w:rPr>
          <w:rFonts w:hint="eastAsia" w:hAnsi="宋体" w:cs="宋体"/>
          <w:color w:val="000000" w:themeColor="text1"/>
          <w:sz w:val="28"/>
          <w:szCs w:val="28"/>
          <w14:textFill>
            <w14:solidFill>
              <w14:schemeClr w14:val="tx1"/>
            </w14:solidFill>
          </w14:textFill>
        </w:rPr>
        <w:t>，于2021年1</w:t>
      </w:r>
      <w:r>
        <w:rPr>
          <w:rFonts w:hAnsi="宋体" w:cs="宋体"/>
          <w:color w:val="000000" w:themeColor="text1"/>
          <w:sz w:val="28"/>
          <w:szCs w:val="28"/>
          <w14:textFill>
            <w14:solidFill>
              <w14:schemeClr w14:val="tx1"/>
            </w14:solidFill>
          </w14:textFill>
        </w:rPr>
        <w:t>2</w:t>
      </w:r>
      <w:r>
        <w:rPr>
          <w:rFonts w:hint="eastAsia" w:hAnsi="宋体" w:cs="宋体"/>
          <w:color w:val="000000" w:themeColor="text1"/>
          <w:sz w:val="28"/>
          <w:szCs w:val="28"/>
          <w14:textFill>
            <w14:solidFill>
              <w14:schemeClr w14:val="tx1"/>
            </w14:solidFill>
          </w14:textFill>
        </w:rPr>
        <w:t>月批准立项，列入国家标准化管理委员会2021年第四批推荐性国家标准计划（见国家标准化管理委员会关于下达</w:t>
      </w:r>
      <w:r>
        <w:rPr>
          <w:rFonts w:hAnsi="宋体" w:cs="宋体"/>
          <w:color w:val="000000" w:themeColor="text1"/>
          <w:sz w:val="28"/>
          <w:szCs w:val="28"/>
          <w14:textFill>
            <w14:solidFill>
              <w14:schemeClr w14:val="tx1"/>
            </w14:solidFill>
          </w14:textFill>
        </w:rPr>
        <w:t>2021年度第四批推荐性国家标准计划及相关标准外文版计划的通知</w:t>
      </w:r>
      <w:r>
        <w:rPr>
          <w:rFonts w:hint="eastAsia" w:hAnsi="宋体" w:cs="宋体"/>
          <w:color w:val="000000" w:themeColor="text1"/>
          <w:sz w:val="28"/>
          <w:szCs w:val="28"/>
          <w14:textFill>
            <w14:solidFill>
              <w14:schemeClr w14:val="tx1"/>
            </w14:solidFill>
          </w14:textFill>
        </w:rPr>
        <w:t>，</w:t>
      </w:r>
      <w:r>
        <w:rPr>
          <w:rFonts w:hAnsi="宋体" w:cs="宋体"/>
          <w:color w:val="000000" w:themeColor="text1"/>
          <w:sz w:val="28"/>
          <w:szCs w:val="28"/>
          <w14:textFill>
            <w14:solidFill>
              <w14:schemeClr w14:val="tx1"/>
            </w14:solidFill>
          </w14:textFill>
        </w:rPr>
        <w:t>国标委发[2021]41号)，</w:t>
      </w:r>
      <w:r>
        <w:rPr>
          <w:rFonts w:hint="eastAsia" w:hAnsi="宋体" w:cs="宋体"/>
          <w:color w:val="000000" w:themeColor="text1"/>
          <w:sz w:val="28"/>
          <w:szCs w:val="28"/>
          <w14:textFill>
            <w14:solidFill>
              <w14:schemeClr w14:val="tx1"/>
            </w14:solidFill>
          </w14:textFill>
        </w:rPr>
        <w:t>项目编号为</w:t>
      </w:r>
      <w:r>
        <w:rPr>
          <w:rFonts w:hAnsi="宋体" w:cs="宋体"/>
          <w:color w:val="000000" w:themeColor="text1"/>
          <w:sz w:val="28"/>
          <w:szCs w:val="28"/>
          <w14:textFill>
            <w14:solidFill>
              <w14:schemeClr w14:val="tx1"/>
            </w14:solidFill>
          </w14:textFill>
        </w:rPr>
        <w:t>20215034-T-469</w:t>
      </w:r>
      <w:r>
        <w:rPr>
          <w:rFonts w:hint="eastAsia" w:hAnsi="宋体" w:cs="宋体"/>
          <w:color w:val="000000" w:themeColor="text1"/>
          <w:sz w:val="28"/>
          <w:szCs w:val="28"/>
          <w14:textFill>
            <w14:solidFill>
              <w14:schemeClr w14:val="tx1"/>
            </w14:solidFill>
          </w14:textFill>
        </w:rPr>
        <w:t>。主要</w:t>
      </w:r>
      <w:r>
        <w:rPr>
          <w:rFonts w:hint="eastAsia" w:hAnsi="宋体" w:cs="宋体"/>
          <w:sz w:val="28"/>
          <w:szCs w:val="28"/>
        </w:rPr>
        <w:t>起草单位</w:t>
      </w:r>
      <w:r>
        <w:rPr>
          <w:rFonts w:hint="eastAsia" w:hAnsi="宋体" w:cs="宋体"/>
          <w:color w:val="000000" w:themeColor="text1"/>
          <w:sz w:val="28"/>
          <w:szCs w:val="28"/>
          <w14:textFill>
            <w14:solidFill>
              <w14:schemeClr w14:val="tx1"/>
            </w14:solidFill>
          </w14:textFill>
        </w:rPr>
        <w:t>为上海第二工业大学、北京京邦达贸易有限公司、顺启和（深圳）科技有限公司、上海市质量与标准化研究院、上海伊邦医药信息科技股份有限公司等。</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二、标准编写的目的、意义</w:t>
      </w:r>
    </w:p>
    <w:p>
      <w:pPr>
        <w:spacing w:line="360" w:lineRule="auto"/>
        <w:ind w:firstLine="560" w:firstLineChars="200"/>
        <w:rPr>
          <w:rFonts w:hint="default" w:ascii="宋体" w:hAnsi="宋体" w:eastAsia="宋体" w:cs="Times New Roman"/>
          <w:kern w:val="0"/>
          <w:sz w:val="28"/>
          <w:szCs w:val="28"/>
          <w:lang w:val="en-US" w:eastAsia="zh-CN"/>
        </w:rPr>
      </w:pPr>
      <w:r>
        <w:rPr>
          <w:rFonts w:hint="eastAsia" w:ascii="宋体" w:hAnsi="宋体" w:eastAsia="宋体" w:cs="Times New Roman"/>
          <w:kern w:val="0"/>
          <w:sz w:val="28"/>
          <w:szCs w:val="28"/>
        </w:rPr>
        <w:t>随着我国电子商务的迅猛发展，市场中退换货的比例</w:t>
      </w:r>
      <w:r>
        <w:rPr>
          <w:rFonts w:hint="eastAsia" w:ascii="宋体" w:hAnsi="宋体" w:eastAsia="宋体" w:cs="Times New Roman"/>
          <w:kern w:val="0"/>
          <w:sz w:val="28"/>
          <w:szCs w:val="28"/>
          <w:lang w:val="en-US" w:eastAsia="zh-CN"/>
        </w:rPr>
        <w:t>也</w:t>
      </w:r>
      <w:r>
        <w:rPr>
          <w:rFonts w:hint="eastAsia" w:ascii="宋体" w:hAnsi="宋体" w:eastAsia="宋体" w:cs="Times New Roman"/>
          <w:kern w:val="0"/>
          <w:sz w:val="28"/>
          <w:szCs w:val="28"/>
        </w:rPr>
        <w:t>越来越大。2014年3月15日正式实施的新修订《消费者权益保护法》中规定，除特殊商品外，网购商品从到货起7天内无理由退货。合理的退换货是电子商务行业健康发展的表现，同时由于消费者不理性购物、</w:t>
      </w:r>
      <w:r>
        <w:rPr>
          <w:rFonts w:hint="eastAsia" w:ascii="宋体" w:hAnsi="宋体" w:eastAsia="宋体" w:cs="Times New Roman"/>
          <w:kern w:val="0"/>
          <w:sz w:val="28"/>
          <w:szCs w:val="28"/>
          <w:lang w:val="en-US" w:eastAsia="zh-CN"/>
        </w:rPr>
        <w:t>平台退换货政策宽松</w:t>
      </w:r>
      <w:r>
        <w:rPr>
          <w:rFonts w:hint="eastAsia" w:ascii="宋体" w:hAnsi="宋体" w:eastAsia="宋体" w:cs="Times New Roman"/>
          <w:kern w:val="0"/>
          <w:sz w:val="28"/>
          <w:szCs w:val="28"/>
        </w:rPr>
        <w:t>等原因，电子商务退换货比率持续增加</w:t>
      </w:r>
      <w:r>
        <w:rPr>
          <w:rFonts w:hint="eastAsia" w:ascii="宋体" w:hAnsi="宋体" w:eastAsia="宋体" w:cs="Times New Roman"/>
          <w:kern w:val="0"/>
          <w:sz w:val="28"/>
          <w:szCs w:val="28"/>
          <w:lang w:eastAsia="zh-CN"/>
        </w:rPr>
        <w:t>。</w:t>
      </w:r>
      <w:r>
        <w:rPr>
          <w:rFonts w:hint="eastAsia" w:ascii="宋体" w:hAnsi="宋体" w:eastAsia="宋体" w:cs="Times New Roman"/>
          <w:kern w:val="0"/>
          <w:sz w:val="28"/>
          <w:szCs w:val="28"/>
          <w:lang w:val="en-US" w:eastAsia="zh-CN"/>
        </w:rPr>
        <w:t>除退换货，商品维修也会带来逆向物流，使其总体体量越来越大，发展出专业化的</w:t>
      </w:r>
      <w:r>
        <w:rPr>
          <w:rFonts w:hint="eastAsia" w:ascii="宋体" w:hAnsi="宋体" w:eastAsia="宋体" w:cs="Times New Roman"/>
          <w:kern w:val="0"/>
          <w:sz w:val="28"/>
          <w:szCs w:val="28"/>
        </w:rPr>
        <w:t>电子商务逆向物流服务</w:t>
      </w:r>
      <w:r>
        <w:rPr>
          <w:rFonts w:hint="eastAsia" w:ascii="宋体" w:hAnsi="宋体" w:eastAsia="宋体" w:cs="Times New Roman"/>
          <w:kern w:val="0"/>
          <w:sz w:val="28"/>
          <w:szCs w:val="28"/>
          <w:lang w:eastAsia="zh-CN"/>
        </w:rPr>
        <w:t>。</w:t>
      </w:r>
      <w:r>
        <w:rPr>
          <w:rFonts w:hint="eastAsia" w:ascii="宋体" w:hAnsi="宋体" w:eastAsia="宋体" w:cs="Times New Roman"/>
          <w:kern w:val="0"/>
          <w:sz w:val="28"/>
          <w:szCs w:val="28"/>
          <w:lang w:val="en-US" w:eastAsia="zh-CN"/>
        </w:rPr>
        <w:t>而从电子商务平台、到电子商务销售商、品牌商、运营商等，都</w:t>
      </w:r>
      <w:r>
        <w:rPr>
          <w:rFonts w:hint="eastAsia" w:ascii="宋体" w:hAnsi="宋体" w:eastAsia="宋体" w:cs="Times New Roman"/>
          <w:kern w:val="0"/>
          <w:sz w:val="28"/>
          <w:szCs w:val="28"/>
        </w:rPr>
        <w:t>愈发关注逆向物流</w:t>
      </w:r>
      <w:r>
        <w:rPr>
          <w:rFonts w:hint="eastAsia" w:ascii="宋体" w:hAnsi="宋体" w:eastAsia="宋体" w:cs="Times New Roman"/>
          <w:kern w:val="0"/>
          <w:sz w:val="28"/>
          <w:szCs w:val="28"/>
          <w:lang w:val="en-US" w:eastAsia="zh-CN"/>
        </w:rPr>
        <w:t>服务</w:t>
      </w:r>
      <w:r>
        <w:rPr>
          <w:rFonts w:hint="eastAsia" w:ascii="宋体" w:hAnsi="宋体" w:eastAsia="宋体" w:cs="Times New Roman"/>
          <w:kern w:val="0"/>
          <w:sz w:val="28"/>
          <w:szCs w:val="28"/>
        </w:rPr>
        <w:t>的规范性发展。</w:t>
      </w:r>
      <w:r>
        <w:rPr>
          <w:rFonts w:hint="eastAsia" w:ascii="宋体" w:hAnsi="宋体" w:eastAsia="宋体" w:cs="Times New Roman"/>
          <w:kern w:val="0"/>
          <w:sz w:val="28"/>
          <w:szCs w:val="28"/>
          <w:lang w:val="en-US" w:eastAsia="zh-CN"/>
        </w:rPr>
        <w:t>因此制定本标准，</w:t>
      </w:r>
      <w:r>
        <w:rPr>
          <w:rFonts w:hint="eastAsia"/>
          <w:sz w:val="28"/>
          <w:szCs w:val="28"/>
        </w:rPr>
        <w:t>规范电子商务逆向物流服务</w:t>
      </w:r>
      <w:r>
        <w:rPr>
          <w:rFonts w:hint="eastAsia"/>
          <w:sz w:val="28"/>
          <w:szCs w:val="28"/>
          <w:lang w:eastAsia="zh-CN"/>
        </w:rPr>
        <w:t>、</w:t>
      </w:r>
      <w:r>
        <w:rPr>
          <w:rFonts w:hint="eastAsia"/>
          <w:sz w:val="28"/>
          <w:szCs w:val="28"/>
          <w:lang w:val="en-US" w:eastAsia="zh-CN"/>
        </w:rPr>
        <w:t>促进服务的质量</w:t>
      </w:r>
      <w:r>
        <w:rPr>
          <w:rFonts w:hint="eastAsia"/>
          <w:sz w:val="28"/>
          <w:szCs w:val="28"/>
        </w:rPr>
        <w:t>评价</w:t>
      </w:r>
      <w:r>
        <w:rPr>
          <w:rFonts w:hint="eastAsia"/>
          <w:sz w:val="28"/>
          <w:szCs w:val="28"/>
          <w:lang w:val="en-US" w:eastAsia="zh-CN"/>
        </w:rPr>
        <w:t>和改进。</w:t>
      </w:r>
    </w:p>
    <w:p>
      <w:pPr>
        <w:ind w:firstLine="560" w:firstLineChars="200"/>
        <w:rPr>
          <w:rFonts w:ascii="宋体" w:hAnsi="宋体" w:eastAsia="宋体" w:cs="Times New Roman"/>
          <w:kern w:val="0"/>
          <w:sz w:val="28"/>
          <w:szCs w:val="28"/>
        </w:rPr>
      </w:pPr>
      <w:r>
        <w:rPr>
          <w:rFonts w:hint="eastAsia" w:ascii="宋体" w:hAnsi="宋体" w:eastAsia="宋体" w:cs="Times New Roman"/>
          <w:kern w:val="0"/>
          <w:sz w:val="28"/>
          <w:szCs w:val="28"/>
        </w:rPr>
        <w:t>目前我国电子商务逆向物流服务存在的主要问题有：</w:t>
      </w:r>
    </w:p>
    <w:p>
      <w:pPr>
        <w:ind w:firstLine="560" w:firstLineChars="200"/>
        <w:rPr>
          <w:rFonts w:hint="eastAsia" w:ascii="宋体" w:hAnsi="宋体" w:eastAsia="宋体" w:cs="Times New Roman"/>
          <w:kern w:val="0"/>
          <w:sz w:val="28"/>
          <w:szCs w:val="28"/>
        </w:rPr>
      </w:pPr>
      <w:r>
        <w:rPr>
          <w:rFonts w:hint="eastAsia" w:ascii="宋体" w:hAnsi="宋体" w:eastAsia="宋体" w:cs="Times New Roman"/>
          <w:kern w:val="0"/>
          <w:sz w:val="28"/>
          <w:szCs w:val="28"/>
        </w:rPr>
        <w:t>（1）</w:t>
      </w:r>
      <w:r>
        <w:rPr>
          <w:rFonts w:hint="eastAsia" w:ascii="宋体" w:hAnsi="宋体" w:eastAsia="宋体" w:cs="Times New Roman"/>
          <w:kern w:val="0"/>
          <w:sz w:val="28"/>
          <w:szCs w:val="28"/>
          <w:lang w:val="en-US" w:eastAsia="zh-CN"/>
        </w:rPr>
        <w:t>管理复杂性高。</w:t>
      </w:r>
      <w:r>
        <w:rPr>
          <w:rFonts w:hint="eastAsia" w:ascii="宋体" w:hAnsi="宋体" w:eastAsia="宋体" w:cs="Times New Roman"/>
          <w:kern w:val="0"/>
          <w:sz w:val="28"/>
          <w:szCs w:val="28"/>
        </w:rPr>
        <w:t>目前零售电商中消费者处于主导地位，</w:t>
      </w:r>
      <w:r>
        <w:rPr>
          <w:rFonts w:hint="eastAsia" w:ascii="宋体" w:hAnsi="宋体" w:eastAsia="宋体" w:cs="Times New Roman"/>
          <w:kern w:val="0"/>
          <w:sz w:val="28"/>
          <w:szCs w:val="28"/>
          <w:lang w:val="en-US" w:eastAsia="zh-CN"/>
        </w:rPr>
        <w:t>退货、换货、维修</w:t>
      </w:r>
      <w:r>
        <w:rPr>
          <w:rFonts w:hint="eastAsia" w:ascii="宋体" w:hAnsi="宋体" w:eastAsia="宋体" w:cs="Times New Roman"/>
          <w:kern w:val="0"/>
          <w:sz w:val="28"/>
          <w:szCs w:val="28"/>
        </w:rPr>
        <w:t>行为是否发生，企业不可先知、难以预测，退换货逆向物流产生的地点、时间、商品数量具有极大的不确定性</w:t>
      </w:r>
      <w:r>
        <w:rPr>
          <w:rFonts w:hint="eastAsia" w:ascii="宋体" w:hAnsi="宋体" w:eastAsia="宋体" w:cs="Times New Roman"/>
          <w:kern w:val="0"/>
          <w:sz w:val="28"/>
          <w:szCs w:val="28"/>
          <w:lang w:eastAsia="zh-CN"/>
        </w:rPr>
        <w:t>，</w:t>
      </w:r>
      <w:r>
        <w:rPr>
          <w:rFonts w:hint="eastAsia" w:ascii="宋体" w:hAnsi="宋体" w:eastAsia="宋体" w:cs="Times New Roman"/>
          <w:kern w:val="0"/>
          <w:sz w:val="28"/>
          <w:szCs w:val="28"/>
          <w:lang w:val="en-US" w:eastAsia="zh-CN"/>
        </w:rPr>
        <w:t>带来了管理的复杂性</w:t>
      </w:r>
      <w:r>
        <w:rPr>
          <w:rFonts w:hint="eastAsia" w:ascii="宋体" w:hAnsi="宋体" w:eastAsia="宋体" w:cs="Times New Roman"/>
          <w:kern w:val="0"/>
          <w:sz w:val="28"/>
          <w:szCs w:val="28"/>
        </w:rPr>
        <w:t>。</w:t>
      </w:r>
    </w:p>
    <w:p>
      <w:pPr>
        <w:ind w:firstLine="560" w:firstLineChars="200"/>
        <w:rPr>
          <w:rFonts w:ascii="宋体" w:hAnsi="宋体" w:eastAsia="宋体" w:cs="Times New Roman"/>
          <w:kern w:val="0"/>
          <w:sz w:val="28"/>
          <w:szCs w:val="28"/>
        </w:rPr>
      </w:pPr>
      <w:r>
        <w:rPr>
          <w:rFonts w:hint="eastAsia" w:ascii="宋体" w:hAnsi="宋体" w:eastAsia="宋体" w:cs="Times New Roman"/>
          <w:kern w:val="0"/>
          <w:sz w:val="28"/>
          <w:szCs w:val="28"/>
          <w:lang w:eastAsia="zh-CN"/>
        </w:rPr>
        <w:t>（</w:t>
      </w:r>
      <w:r>
        <w:rPr>
          <w:rFonts w:hint="eastAsia" w:ascii="宋体" w:hAnsi="宋体" w:eastAsia="宋体" w:cs="Times New Roman"/>
          <w:kern w:val="0"/>
          <w:sz w:val="28"/>
          <w:szCs w:val="28"/>
          <w:lang w:val="en-US" w:eastAsia="zh-CN"/>
        </w:rPr>
        <w:t>2）难以形成规模效应。</w:t>
      </w:r>
      <w:r>
        <w:rPr>
          <w:rFonts w:hint="eastAsia" w:ascii="宋体" w:hAnsi="宋体" w:eastAsia="宋体" w:cs="Times New Roman"/>
          <w:kern w:val="0"/>
          <w:sz w:val="28"/>
          <w:szCs w:val="28"/>
        </w:rPr>
        <w:t>电商退换货逆向物流是由处于供应链末端的最终消费者引起的，进入逆向物流系统的不同类型的返品通常混杂在一起，返</w:t>
      </w:r>
      <w:r>
        <w:rPr>
          <w:rFonts w:hint="eastAsia" w:ascii="宋体" w:hAnsi="宋体" w:eastAsia="宋体" w:cs="Times New Roman"/>
          <w:kern w:val="0"/>
          <w:sz w:val="28"/>
          <w:szCs w:val="28"/>
          <w:lang w:val="en-US" w:eastAsia="zh-CN"/>
        </w:rPr>
        <w:t>货</w:t>
      </w:r>
      <w:r>
        <w:rPr>
          <w:rFonts w:hint="eastAsia" w:ascii="宋体" w:hAnsi="宋体" w:eastAsia="宋体" w:cs="Times New Roman"/>
          <w:kern w:val="0"/>
          <w:sz w:val="28"/>
          <w:szCs w:val="28"/>
        </w:rPr>
        <w:t>在总体上处于分散和无序状态，难以</w:t>
      </w:r>
      <w:r>
        <w:rPr>
          <w:rFonts w:hint="eastAsia" w:ascii="宋体" w:hAnsi="宋体" w:eastAsia="宋体" w:cs="Times New Roman"/>
          <w:kern w:val="0"/>
          <w:sz w:val="28"/>
          <w:szCs w:val="28"/>
          <w:lang w:val="en-US" w:eastAsia="zh-CN"/>
        </w:rPr>
        <w:t>形成运输、仓储等方面的</w:t>
      </w:r>
      <w:r>
        <w:rPr>
          <w:rFonts w:hint="eastAsia" w:ascii="宋体" w:hAnsi="宋体" w:eastAsia="宋体" w:cs="Times New Roman"/>
          <w:kern w:val="0"/>
          <w:sz w:val="28"/>
          <w:szCs w:val="28"/>
          <w:lang w:eastAsia="zh-CN"/>
        </w:rPr>
        <w:t>规模效应</w:t>
      </w:r>
      <w:r>
        <w:rPr>
          <w:rFonts w:hint="eastAsia" w:ascii="宋体" w:hAnsi="宋体" w:eastAsia="宋体" w:cs="Times New Roman"/>
          <w:kern w:val="0"/>
          <w:sz w:val="28"/>
          <w:szCs w:val="28"/>
        </w:rPr>
        <w:t>。</w:t>
      </w:r>
    </w:p>
    <w:p>
      <w:pPr>
        <w:ind w:firstLine="560" w:firstLineChars="200"/>
        <w:rPr>
          <w:rFonts w:hint="default" w:ascii="宋体" w:hAnsi="宋体" w:eastAsia="宋体" w:cs="Times New Roman"/>
          <w:kern w:val="0"/>
          <w:sz w:val="28"/>
          <w:szCs w:val="28"/>
          <w:lang w:val="en-US" w:eastAsia="zh-CN"/>
        </w:rPr>
      </w:pPr>
      <w:r>
        <w:rPr>
          <w:rFonts w:hint="eastAsia" w:ascii="宋体" w:hAnsi="宋体" w:eastAsia="宋体" w:cs="Times New Roman"/>
          <w:kern w:val="0"/>
          <w:sz w:val="28"/>
          <w:szCs w:val="28"/>
        </w:rPr>
        <w:t>（</w:t>
      </w:r>
      <w:r>
        <w:rPr>
          <w:rFonts w:hint="eastAsia" w:ascii="宋体" w:hAnsi="宋体" w:eastAsia="宋体" w:cs="Times New Roman"/>
          <w:kern w:val="0"/>
          <w:sz w:val="28"/>
          <w:szCs w:val="28"/>
          <w:lang w:val="en-US" w:eastAsia="zh-CN"/>
        </w:rPr>
        <w:t>3</w:t>
      </w:r>
      <w:r>
        <w:rPr>
          <w:rFonts w:hint="eastAsia" w:ascii="宋体" w:hAnsi="宋体" w:eastAsia="宋体" w:cs="Times New Roman"/>
          <w:kern w:val="0"/>
          <w:sz w:val="28"/>
          <w:szCs w:val="28"/>
        </w:rPr>
        <w:t>）</w:t>
      </w:r>
      <w:r>
        <w:rPr>
          <w:rFonts w:hint="eastAsia" w:ascii="宋体" w:hAnsi="宋体" w:eastAsia="宋体" w:cs="Times New Roman"/>
          <w:kern w:val="0"/>
          <w:sz w:val="28"/>
          <w:szCs w:val="28"/>
          <w:lang w:val="en-US" w:eastAsia="zh-CN"/>
        </w:rPr>
        <w:t>服务过程中容易出现问题。返货</w:t>
      </w:r>
      <w:r>
        <w:rPr>
          <w:rFonts w:hint="eastAsia" w:ascii="宋体" w:hAnsi="宋体" w:eastAsia="宋体" w:cs="Times New Roman"/>
          <w:kern w:val="0"/>
          <w:sz w:val="28"/>
          <w:szCs w:val="28"/>
        </w:rPr>
        <w:t>是从众多终端消费者手中出发，经过</w:t>
      </w:r>
      <w:r>
        <w:rPr>
          <w:rFonts w:hint="eastAsia" w:ascii="宋体" w:hAnsi="宋体" w:eastAsia="宋体" w:cs="Times New Roman"/>
          <w:kern w:val="0"/>
          <w:sz w:val="28"/>
          <w:szCs w:val="28"/>
          <w:lang w:val="en-US" w:eastAsia="zh-CN"/>
        </w:rPr>
        <w:t>分拣、检测等环节，最终到电子商务销售商、品牌商、维修站、二手交易平台、消费者等完成闭环</w:t>
      </w:r>
      <w:r>
        <w:rPr>
          <w:rFonts w:hint="eastAsia" w:ascii="宋体" w:hAnsi="宋体" w:eastAsia="宋体" w:cs="Times New Roman"/>
          <w:kern w:val="0"/>
          <w:sz w:val="28"/>
          <w:szCs w:val="28"/>
        </w:rPr>
        <w:t>。</w:t>
      </w:r>
      <w:r>
        <w:rPr>
          <w:rFonts w:hint="eastAsia" w:ascii="宋体" w:hAnsi="宋体" w:eastAsia="宋体" w:cs="Times New Roman"/>
          <w:kern w:val="0"/>
          <w:sz w:val="28"/>
          <w:szCs w:val="28"/>
          <w:lang w:val="en-US" w:eastAsia="zh-CN"/>
        </w:rPr>
        <w:t>目前在</w:t>
      </w:r>
      <w:r>
        <w:rPr>
          <w:rFonts w:hint="eastAsia" w:ascii="宋体" w:hAnsi="宋体" w:eastAsia="宋体" w:cs="Times New Roman"/>
          <w:kern w:val="0"/>
          <w:sz w:val="28"/>
          <w:szCs w:val="28"/>
        </w:rPr>
        <w:t>这一过程中</w:t>
      </w:r>
      <w:r>
        <w:rPr>
          <w:rFonts w:hint="eastAsia" w:ascii="宋体" w:hAnsi="宋体" w:eastAsia="宋体" w:cs="Times New Roman"/>
          <w:kern w:val="0"/>
          <w:sz w:val="28"/>
          <w:szCs w:val="28"/>
          <w:lang w:val="en-US" w:eastAsia="zh-CN"/>
        </w:rPr>
        <w:t>各主体缺乏协同作业，更容易产生</w:t>
      </w:r>
      <w:r>
        <w:rPr>
          <w:rFonts w:hint="eastAsia" w:ascii="宋体" w:hAnsi="宋体" w:eastAsia="宋体" w:cs="Times New Roman"/>
          <w:kern w:val="0"/>
          <w:sz w:val="28"/>
          <w:szCs w:val="28"/>
        </w:rPr>
        <w:t>处理时间滞后</w:t>
      </w:r>
      <w:r>
        <w:rPr>
          <w:rFonts w:hint="eastAsia" w:ascii="宋体" w:hAnsi="宋体" w:eastAsia="宋体" w:cs="Times New Roman"/>
          <w:kern w:val="0"/>
          <w:sz w:val="28"/>
          <w:szCs w:val="28"/>
          <w:lang w:eastAsia="zh-CN"/>
        </w:rPr>
        <w:t>、</w:t>
      </w:r>
      <w:r>
        <w:rPr>
          <w:rFonts w:hint="eastAsia" w:ascii="宋体" w:hAnsi="宋体" w:eastAsia="宋体" w:cs="Times New Roman"/>
          <w:kern w:val="0"/>
          <w:sz w:val="28"/>
          <w:szCs w:val="28"/>
          <w:lang w:val="en-US" w:eastAsia="zh-CN"/>
        </w:rPr>
        <w:t>产品进入错误的环节等问题。</w:t>
      </w:r>
    </w:p>
    <w:p>
      <w:pPr>
        <w:tabs>
          <w:tab w:val="left" w:pos="312"/>
        </w:tabs>
        <w:ind w:firstLine="560" w:firstLineChars="200"/>
        <w:rPr>
          <w:rFonts w:hint="default" w:ascii="宋体" w:hAnsi="宋体" w:eastAsia="宋体" w:cs="Times New Roman"/>
          <w:kern w:val="0"/>
          <w:sz w:val="28"/>
          <w:szCs w:val="28"/>
          <w:lang w:val="en-US" w:eastAsia="zh-CN"/>
        </w:rPr>
      </w:pPr>
      <w:r>
        <w:rPr>
          <w:rFonts w:hint="eastAsia" w:ascii="宋体" w:hAnsi="宋体" w:eastAsia="宋体" w:cs="Times New Roman"/>
          <w:kern w:val="0"/>
          <w:sz w:val="28"/>
          <w:szCs w:val="28"/>
        </w:rPr>
        <w:t>（</w:t>
      </w:r>
      <w:r>
        <w:rPr>
          <w:rFonts w:hint="eastAsia" w:ascii="宋体" w:hAnsi="宋体" w:eastAsia="宋体" w:cs="Times New Roman"/>
          <w:kern w:val="0"/>
          <w:sz w:val="28"/>
          <w:szCs w:val="28"/>
          <w:lang w:val="en-US" w:eastAsia="zh-CN"/>
        </w:rPr>
        <w:t>4</w:t>
      </w:r>
      <w:r>
        <w:rPr>
          <w:rFonts w:hint="eastAsia" w:ascii="宋体" w:hAnsi="宋体" w:eastAsia="宋体" w:cs="Times New Roman"/>
          <w:kern w:val="0"/>
          <w:sz w:val="28"/>
          <w:szCs w:val="28"/>
        </w:rPr>
        <w:t>）</w:t>
      </w:r>
      <w:r>
        <w:rPr>
          <w:rFonts w:hint="eastAsia" w:ascii="宋体" w:hAnsi="宋体" w:eastAsia="宋体" w:cs="Times New Roman"/>
          <w:kern w:val="0"/>
          <w:sz w:val="28"/>
          <w:szCs w:val="28"/>
          <w:lang w:val="en-US" w:eastAsia="zh-CN"/>
        </w:rPr>
        <w:t>容易造成资源浪费。</w:t>
      </w:r>
      <w:r>
        <w:rPr>
          <w:rFonts w:hint="eastAsia" w:ascii="宋体" w:hAnsi="宋体" w:eastAsia="宋体" w:cs="Times New Roman"/>
          <w:kern w:val="0"/>
          <w:sz w:val="28"/>
          <w:szCs w:val="28"/>
        </w:rPr>
        <w:t>由于企业的竞争压力，退货条件也在不断放宽，大量的退货商品却因缺少相应的服务规范，造成二次利用率不高、去向不明等情况</w:t>
      </w:r>
      <w:r>
        <w:rPr>
          <w:rFonts w:hint="eastAsia" w:ascii="宋体" w:hAnsi="宋体" w:eastAsia="宋体" w:cs="Times New Roman"/>
          <w:kern w:val="0"/>
          <w:sz w:val="28"/>
          <w:szCs w:val="28"/>
          <w:lang w:eastAsia="zh-CN"/>
        </w:rPr>
        <w:t>，</w:t>
      </w:r>
      <w:r>
        <w:rPr>
          <w:rFonts w:hint="eastAsia" w:ascii="宋体" w:hAnsi="宋体" w:eastAsia="宋体" w:cs="Times New Roman"/>
          <w:kern w:val="0"/>
          <w:sz w:val="28"/>
          <w:szCs w:val="28"/>
          <w:lang w:val="en-US" w:eastAsia="zh-CN"/>
        </w:rPr>
        <w:t>造成资源浪费。</w:t>
      </w:r>
    </w:p>
    <w:p>
      <w:pPr>
        <w:ind w:firstLine="560" w:firstLineChars="200"/>
        <w:rPr>
          <w:rFonts w:ascii="宋体" w:hAnsi="宋体" w:eastAsia="宋体" w:cs="Times New Roman"/>
          <w:kern w:val="0"/>
          <w:sz w:val="28"/>
          <w:szCs w:val="28"/>
        </w:rPr>
      </w:pPr>
      <w:r>
        <w:rPr>
          <w:rFonts w:hint="eastAsia" w:ascii="宋体" w:hAnsi="宋体" w:eastAsia="宋体" w:cs="Times New Roman"/>
          <w:kern w:val="0"/>
          <w:sz w:val="28"/>
          <w:szCs w:val="28"/>
        </w:rPr>
        <w:t>规范的服务流程和管理可以在一定程度上解决上述问题，具体有以下几点意义：</w:t>
      </w:r>
    </w:p>
    <w:p>
      <w:pPr>
        <w:ind w:firstLine="560" w:firstLineChars="200"/>
        <w:rPr>
          <w:rFonts w:ascii="宋体" w:hAnsi="宋体" w:eastAsia="宋体" w:cs="Times New Roman"/>
          <w:color w:val="FF0000"/>
          <w:kern w:val="0"/>
          <w:sz w:val="28"/>
          <w:szCs w:val="28"/>
        </w:rPr>
      </w:pPr>
      <w:r>
        <w:rPr>
          <w:rFonts w:hint="eastAsia" w:ascii="宋体" w:hAnsi="宋体" w:eastAsia="宋体" w:cs="Times New Roman"/>
          <w:kern w:val="0"/>
          <w:sz w:val="28"/>
          <w:szCs w:val="28"/>
        </w:rPr>
        <w:t>（</w:t>
      </w:r>
      <w:r>
        <w:rPr>
          <w:rFonts w:hint="eastAsia" w:ascii="宋体" w:hAnsi="宋体" w:eastAsia="宋体" w:cs="Times New Roman"/>
          <w:kern w:val="0"/>
          <w:sz w:val="28"/>
          <w:szCs w:val="28"/>
          <w:lang w:val="en-US" w:eastAsia="zh-CN"/>
        </w:rPr>
        <w:t>1</w:t>
      </w:r>
      <w:r>
        <w:rPr>
          <w:rFonts w:hint="eastAsia" w:ascii="宋体" w:hAnsi="宋体" w:eastAsia="宋体" w:cs="Times New Roman"/>
          <w:kern w:val="0"/>
          <w:sz w:val="28"/>
          <w:szCs w:val="28"/>
        </w:rPr>
        <w:t>）降低电子商务逆向物流的运营成本。一方面通过</w:t>
      </w:r>
      <w:r>
        <w:rPr>
          <w:rFonts w:hint="eastAsia" w:ascii="宋体" w:hAnsi="宋体" w:eastAsia="宋体" w:cs="Times New Roman"/>
          <w:kern w:val="0"/>
          <w:sz w:val="28"/>
          <w:szCs w:val="28"/>
          <w:lang w:val="en-US" w:eastAsia="zh-CN"/>
        </w:rPr>
        <w:t>合理的服务作业流程，降低因返货</w:t>
      </w:r>
      <w:r>
        <w:rPr>
          <w:rFonts w:hint="eastAsia" w:ascii="宋体" w:hAnsi="宋体" w:eastAsia="宋体" w:cs="Times New Roman"/>
          <w:kern w:val="0"/>
          <w:sz w:val="28"/>
          <w:szCs w:val="28"/>
        </w:rPr>
        <w:t>杂乱无序</w:t>
      </w:r>
      <w:r>
        <w:rPr>
          <w:rFonts w:hint="eastAsia" w:ascii="宋体" w:hAnsi="宋体" w:eastAsia="宋体" w:cs="Times New Roman"/>
          <w:kern w:val="0"/>
          <w:sz w:val="28"/>
          <w:szCs w:val="28"/>
          <w:lang w:val="en-US" w:eastAsia="zh-CN"/>
        </w:rPr>
        <w:t>产生的成本，如先根据类别和件型进行分拣、同一类型一起拆包，提高了拆包的规模效应；</w:t>
      </w:r>
      <w:r>
        <w:rPr>
          <w:rFonts w:hint="eastAsia" w:ascii="宋体" w:hAnsi="宋体" w:eastAsia="宋体" w:cs="Times New Roman"/>
          <w:kern w:val="0"/>
          <w:sz w:val="28"/>
          <w:szCs w:val="28"/>
        </w:rPr>
        <w:t>另一方面通过标准加强电子商务平台、销售商、物流企业在退换货物流中的配合</w:t>
      </w:r>
      <w:r>
        <w:rPr>
          <w:rFonts w:hint="eastAsia" w:ascii="宋体" w:hAnsi="宋体" w:eastAsia="宋体" w:cs="Times New Roman"/>
          <w:kern w:val="0"/>
          <w:sz w:val="28"/>
          <w:szCs w:val="28"/>
          <w:lang w:eastAsia="zh-CN"/>
        </w:rPr>
        <w:t>，</w:t>
      </w:r>
      <w:r>
        <w:rPr>
          <w:rFonts w:hint="eastAsia" w:ascii="宋体" w:hAnsi="宋体" w:eastAsia="宋体" w:cs="Times New Roman"/>
          <w:kern w:val="0"/>
          <w:sz w:val="28"/>
          <w:szCs w:val="28"/>
          <w:lang w:val="en-US" w:eastAsia="zh-CN"/>
        </w:rPr>
        <w:t>降低各主体重复作业的成本，如通过系统连接和数据共享，减少重复和客户沟通、获取数据的成本</w:t>
      </w:r>
      <w:r>
        <w:rPr>
          <w:rFonts w:hint="eastAsia" w:ascii="宋体" w:hAnsi="宋体" w:eastAsia="宋体" w:cs="Times New Roman"/>
          <w:kern w:val="0"/>
          <w:sz w:val="28"/>
          <w:szCs w:val="28"/>
        </w:rPr>
        <w:t>。</w:t>
      </w:r>
    </w:p>
    <w:p>
      <w:pPr>
        <w:tabs>
          <w:tab w:val="left" w:pos="312"/>
        </w:tabs>
        <w:ind w:firstLine="560" w:firstLineChars="200"/>
        <w:rPr>
          <w:rFonts w:ascii="宋体" w:hAnsi="宋体" w:eastAsia="宋体" w:cs="Times New Roman"/>
          <w:kern w:val="0"/>
          <w:sz w:val="28"/>
          <w:szCs w:val="28"/>
        </w:rPr>
      </w:pPr>
      <w:r>
        <w:rPr>
          <w:rFonts w:hint="eastAsia" w:ascii="宋体" w:hAnsi="宋体" w:eastAsia="宋体" w:cs="Times New Roman"/>
          <w:kern w:val="0"/>
          <w:sz w:val="28"/>
          <w:szCs w:val="28"/>
        </w:rPr>
        <w:t>（</w:t>
      </w:r>
      <w:r>
        <w:rPr>
          <w:rFonts w:hint="eastAsia" w:ascii="宋体" w:hAnsi="宋体" w:eastAsia="宋体" w:cs="Times New Roman"/>
          <w:kern w:val="0"/>
          <w:sz w:val="28"/>
          <w:szCs w:val="28"/>
          <w:lang w:val="en-US" w:eastAsia="zh-CN"/>
        </w:rPr>
        <w:t>2</w:t>
      </w:r>
      <w:r>
        <w:rPr>
          <w:rFonts w:hint="eastAsia" w:ascii="宋体" w:hAnsi="宋体" w:eastAsia="宋体" w:cs="Times New Roman"/>
          <w:kern w:val="0"/>
          <w:sz w:val="28"/>
          <w:szCs w:val="28"/>
        </w:rPr>
        <w:t>）改善电子商务逆向物流的服务质量。通过规范服务流程，减少电子商务</w:t>
      </w:r>
      <w:r>
        <w:rPr>
          <w:rFonts w:hint="eastAsia" w:ascii="宋体" w:hAnsi="宋体" w:eastAsia="宋体" w:cs="Times New Roman"/>
          <w:kern w:val="0"/>
          <w:sz w:val="28"/>
          <w:szCs w:val="28"/>
          <w:lang w:val="en-US" w:eastAsia="zh-CN"/>
        </w:rPr>
        <w:t>返货在</w:t>
      </w:r>
      <w:r>
        <w:rPr>
          <w:rFonts w:hint="eastAsia" w:ascii="宋体" w:hAnsi="宋体" w:eastAsia="宋体" w:cs="Times New Roman"/>
          <w:kern w:val="0"/>
          <w:sz w:val="28"/>
          <w:szCs w:val="28"/>
        </w:rPr>
        <w:t>逆向物流</w:t>
      </w:r>
      <w:r>
        <w:rPr>
          <w:rFonts w:hint="eastAsia" w:ascii="宋体" w:hAnsi="宋体" w:eastAsia="宋体" w:cs="Times New Roman"/>
          <w:kern w:val="0"/>
          <w:sz w:val="28"/>
          <w:szCs w:val="28"/>
          <w:lang w:val="en-US" w:eastAsia="zh-CN"/>
        </w:rPr>
        <w:t>过程中出现的</w:t>
      </w:r>
      <w:r>
        <w:rPr>
          <w:rFonts w:hint="eastAsia" w:ascii="宋体" w:hAnsi="宋体" w:eastAsia="宋体" w:cs="Times New Roman"/>
          <w:kern w:val="0"/>
          <w:sz w:val="28"/>
          <w:szCs w:val="28"/>
        </w:rPr>
        <w:t>问题，</w:t>
      </w:r>
      <w:r>
        <w:rPr>
          <w:rFonts w:hint="eastAsia" w:ascii="宋体" w:hAnsi="宋体" w:eastAsia="宋体" w:cs="Times New Roman"/>
          <w:kern w:val="0"/>
          <w:sz w:val="28"/>
          <w:szCs w:val="28"/>
          <w:lang w:val="en-US" w:eastAsia="zh-CN"/>
        </w:rPr>
        <w:t>通过标准中的评价和改进条款，促进</w:t>
      </w:r>
      <w:r>
        <w:rPr>
          <w:rFonts w:hint="eastAsia" w:ascii="宋体" w:hAnsi="宋体" w:eastAsia="宋体" w:cs="Times New Roman"/>
          <w:kern w:val="0"/>
          <w:sz w:val="28"/>
          <w:szCs w:val="28"/>
        </w:rPr>
        <w:t>电子商务逆向物流</w:t>
      </w:r>
      <w:r>
        <w:rPr>
          <w:rFonts w:hint="eastAsia" w:ascii="宋体" w:hAnsi="宋体" w:eastAsia="宋体" w:cs="Times New Roman"/>
          <w:kern w:val="0"/>
          <w:sz w:val="28"/>
          <w:szCs w:val="28"/>
          <w:lang w:val="en-US" w:eastAsia="zh-CN"/>
        </w:rPr>
        <w:t>服务商不断改进服务，提升服务质量</w:t>
      </w:r>
      <w:r>
        <w:rPr>
          <w:rFonts w:hint="eastAsia" w:ascii="宋体" w:hAnsi="宋体" w:eastAsia="宋体" w:cs="Times New Roman"/>
          <w:kern w:val="0"/>
          <w:sz w:val="28"/>
          <w:szCs w:val="28"/>
        </w:rPr>
        <w:t>。</w:t>
      </w:r>
    </w:p>
    <w:p>
      <w:pPr>
        <w:ind w:firstLine="560" w:firstLineChars="200"/>
        <w:rPr>
          <w:rFonts w:hint="eastAsia" w:ascii="宋体" w:hAnsi="宋体" w:eastAsia="宋体" w:cs="Times New Roman"/>
          <w:kern w:val="0"/>
          <w:sz w:val="28"/>
          <w:szCs w:val="28"/>
          <w:lang w:eastAsia="zh-CN"/>
        </w:rPr>
      </w:pPr>
      <w:r>
        <w:rPr>
          <w:rFonts w:hint="eastAsia" w:ascii="宋体" w:hAnsi="宋体" w:eastAsia="宋体" w:cs="Times New Roman"/>
          <w:kern w:val="0"/>
          <w:sz w:val="28"/>
          <w:szCs w:val="28"/>
        </w:rPr>
        <w:t>（3）减少资源浪费，响应国家绿色循环可持续发展的理念。一方面在逆向物流服务中将返货分类，并推荐对返货进行重新赋码以增加其二次利用的可追溯性，促进返货商品的再利用</w:t>
      </w:r>
      <w:r>
        <w:rPr>
          <w:rFonts w:hint="eastAsia" w:ascii="宋体" w:hAnsi="宋体" w:eastAsia="宋体" w:cs="Times New Roman"/>
          <w:kern w:val="0"/>
          <w:sz w:val="28"/>
          <w:szCs w:val="28"/>
          <w:lang w:eastAsia="zh-CN"/>
        </w:rPr>
        <w:t>；</w:t>
      </w:r>
      <w:r>
        <w:rPr>
          <w:rFonts w:hint="eastAsia" w:ascii="宋体" w:hAnsi="宋体" w:eastAsia="宋体" w:cs="Times New Roman"/>
          <w:kern w:val="0"/>
          <w:sz w:val="28"/>
          <w:szCs w:val="28"/>
          <w:lang w:val="en-US" w:eastAsia="zh-CN"/>
        </w:rPr>
        <w:t>另</w:t>
      </w:r>
      <w:r>
        <w:rPr>
          <w:rFonts w:hint="eastAsia" w:ascii="宋体" w:hAnsi="宋体" w:eastAsia="宋体" w:cs="Times New Roman"/>
          <w:kern w:val="0"/>
          <w:sz w:val="28"/>
          <w:szCs w:val="28"/>
        </w:rPr>
        <w:t>一方面</w:t>
      </w:r>
      <w:r>
        <w:rPr>
          <w:rFonts w:hint="eastAsia" w:ascii="宋体" w:hAnsi="宋体" w:eastAsia="宋体" w:cs="Times New Roman"/>
          <w:kern w:val="0"/>
          <w:sz w:val="28"/>
          <w:szCs w:val="28"/>
          <w:lang w:val="en-US" w:eastAsia="zh-CN"/>
        </w:rPr>
        <w:t>在标准的推荐性条款中促进包装的绿色可循环，如拆包环节对拆下包装的分类处理、出库环节采用可循环</w:t>
      </w:r>
      <w:r>
        <w:rPr>
          <w:rFonts w:hint="eastAsia" w:ascii="宋体" w:hAnsi="宋体" w:eastAsia="宋体" w:cs="Times New Roman"/>
          <w:kern w:val="0"/>
          <w:sz w:val="28"/>
          <w:szCs w:val="28"/>
        </w:rPr>
        <w:t>包装</w:t>
      </w:r>
      <w:r>
        <w:rPr>
          <w:rFonts w:hint="eastAsia" w:ascii="宋体" w:hAnsi="宋体" w:eastAsia="宋体" w:cs="Times New Roman"/>
          <w:kern w:val="0"/>
          <w:sz w:val="28"/>
          <w:szCs w:val="28"/>
          <w:lang w:eastAsia="zh-CN"/>
        </w:rPr>
        <w:t>。</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三、主要工作过程</w:t>
      </w:r>
    </w:p>
    <w:p>
      <w:pPr>
        <w:spacing w:line="360" w:lineRule="auto"/>
        <w:ind w:firstLine="560" w:firstLineChars="200"/>
        <w:rPr>
          <w:rFonts w:hAnsi="宋体"/>
          <w:sz w:val="32"/>
          <w:szCs w:val="32"/>
        </w:rPr>
      </w:pPr>
      <w:r>
        <w:rPr>
          <w:rFonts w:hint="eastAsia" w:ascii="宋体" w:hAnsi="宋体" w:eastAsia="宋体"/>
          <w:sz w:val="28"/>
          <w:szCs w:val="28"/>
        </w:rPr>
        <w:t>2021年3月，上海第二工业大学牵头开展《电子商务逆向物流通用服务规范》标准项目的预研</w:t>
      </w:r>
      <w:r>
        <w:rPr>
          <w:rFonts w:hint="eastAsia" w:ascii="宋体" w:hAnsi="宋体" w:eastAsia="宋体"/>
          <w:sz w:val="28"/>
          <w:szCs w:val="28"/>
          <w:lang w:eastAsia="zh-CN"/>
        </w:rPr>
        <w:t>。</w:t>
      </w:r>
      <w:r>
        <w:rPr>
          <w:rFonts w:hint="eastAsia" w:ascii="宋体" w:hAnsi="宋体" w:eastAsia="宋体"/>
          <w:sz w:val="28"/>
          <w:szCs w:val="28"/>
        </w:rPr>
        <w:t>编制组查阅了电子商务逆向物流服务</w:t>
      </w:r>
      <w:r>
        <w:rPr>
          <w:rFonts w:hint="eastAsia" w:ascii="宋体" w:hAnsi="宋体" w:eastAsia="宋体"/>
          <w:sz w:val="28"/>
          <w:szCs w:val="28"/>
          <w:lang w:val="en-US" w:eastAsia="zh-CN"/>
        </w:rPr>
        <w:t>相关资料</w:t>
      </w:r>
      <w:r>
        <w:rPr>
          <w:rFonts w:hint="eastAsia" w:ascii="宋体" w:hAnsi="宋体" w:eastAsia="宋体"/>
          <w:sz w:val="28"/>
          <w:szCs w:val="28"/>
        </w:rPr>
        <w:t>，同时对圆通、京东、顺丰、爱回收、飞蚂蚁、上海家化、云丰、菜鸟、苏宁易购、拼多多等相关企业的管理层、技术人员以及消费者</w:t>
      </w:r>
      <w:r>
        <w:rPr>
          <w:rFonts w:hint="eastAsia" w:hAnsi="宋体" w:eastAsia="宋体"/>
          <w:sz w:val="28"/>
          <w:szCs w:val="28"/>
        </w:rPr>
        <w:t>等</w:t>
      </w:r>
      <w:r>
        <w:rPr>
          <w:rFonts w:hint="eastAsia" w:ascii="宋体" w:hAnsi="宋体" w:eastAsia="宋体"/>
          <w:sz w:val="28"/>
          <w:szCs w:val="28"/>
        </w:rPr>
        <w:t>进行了调研访谈，完成了标准的前期预研工作，形成了标准草案，并向全国物流标准化技术委员会提交立项申请。</w:t>
      </w:r>
    </w:p>
    <w:p>
      <w:pPr>
        <w:spacing w:line="360" w:lineRule="auto"/>
        <w:ind w:firstLine="560" w:firstLineChars="200"/>
        <w:rPr>
          <w:rFonts w:hint="eastAsia" w:hAnsi="宋体" w:eastAsia="宋体"/>
          <w:sz w:val="28"/>
          <w:szCs w:val="28"/>
        </w:rPr>
      </w:pPr>
      <w:r>
        <w:rPr>
          <w:rFonts w:hint="eastAsia" w:ascii="宋体" w:hAnsi="宋体" w:eastAsia="宋体"/>
          <w:sz w:val="28"/>
          <w:szCs w:val="28"/>
        </w:rPr>
        <w:t>2021年12月底，</w:t>
      </w:r>
      <w:r>
        <w:rPr>
          <w:rFonts w:hint="eastAsia" w:hAnsi="宋体" w:eastAsia="宋体"/>
          <w:sz w:val="28"/>
          <w:szCs w:val="28"/>
        </w:rPr>
        <w:t>上海第二工业大学接到《电子商务逆向物流通用服务规范》国家标准立项通知后，成立了</w:t>
      </w:r>
      <w:r>
        <w:rPr>
          <w:rFonts w:hint="eastAsia" w:asciiTheme="minorEastAsia" w:hAnsiTheme="minorEastAsia"/>
          <w:sz w:val="28"/>
          <w:szCs w:val="28"/>
        </w:rPr>
        <w:t>标准起草小组，并明确分工（见表1），</w:t>
      </w:r>
      <w:r>
        <w:rPr>
          <w:rFonts w:hint="eastAsia" w:hAnsi="宋体" w:eastAsia="宋体"/>
          <w:sz w:val="28"/>
          <w:szCs w:val="28"/>
        </w:rPr>
        <w:t>开展标准的</w:t>
      </w:r>
      <w:r>
        <w:rPr>
          <w:rFonts w:hint="eastAsia" w:hAnsi="宋体" w:eastAsia="宋体"/>
          <w:sz w:val="28"/>
          <w:szCs w:val="28"/>
          <w:lang w:val="en-US" w:eastAsia="zh-CN"/>
        </w:rPr>
        <w:t>起草</w:t>
      </w:r>
      <w:r>
        <w:rPr>
          <w:rFonts w:hint="eastAsia" w:hAnsi="宋体" w:eastAsia="宋体"/>
          <w:sz w:val="28"/>
          <w:szCs w:val="28"/>
        </w:rPr>
        <w:t>工作。</w:t>
      </w:r>
    </w:p>
    <w:p>
      <w:pPr>
        <w:spacing w:line="360" w:lineRule="auto"/>
        <w:ind w:firstLine="560" w:firstLineChars="200"/>
        <w:rPr>
          <w:rFonts w:hint="eastAsia" w:hAnsi="宋体" w:eastAsia="宋体"/>
          <w:sz w:val="28"/>
          <w:szCs w:val="28"/>
        </w:rPr>
      </w:pPr>
    </w:p>
    <w:p>
      <w:pPr>
        <w:keepNext w:val="0"/>
        <w:keepLines w:val="0"/>
        <w:pageBreakBefore w:val="0"/>
        <w:widowControl/>
        <w:kinsoku/>
        <w:wordWrap/>
        <w:overflowPunct/>
        <w:topLinePunct w:val="0"/>
        <w:autoSpaceDE/>
        <w:autoSpaceDN/>
        <w:bidi w:val="0"/>
        <w:adjustRightInd w:val="0"/>
        <w:snapToGrid w:val="0"/>
        <w:jc w:val="center"/>
        <w:textAlignment w:val="auto"/>
        <w:rPr>
          <w:rFonts w:asciiTheme="minorEastAsia" w:hAnsiTheme="minorEastAsia"/>
          <w:sz w:val="22"/>
        </w:rPr>
      </w:pPr>
      <w:r>
        <w:rPr>
          <w:rFonts w:hint="eastAsia" w:asciiTheme="minorEastAsia" w:hAnsiTheme="minorEastAsia"/>
          <w:sz w:val="22"/>
        </w:rPr>
        <w:t>表1 标准起草小组主要工作分工</w:t>
      </w:r>
    </w:p>
    <w:tbl>
      <w:tblPr>
        <w:tblStyle w:val="7"/>
        <w:tblW w:w="8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Layout w:type="fixed"/>
        <w:tblCellMar>
          <w:top w:w="0" w:type="dxa"/>
          <w:left w:w="108" w:type="dxa"/>
          <w:bottom w:w="0" w:type="dxa"/>
          <w:right w:w="108" w:type="dxa"/>
        </w:tblCellMar>
      </w:tblPr>
      <w:tblGrid>
        <w:gridCol w:w="709"/>
        <w:gridCol w:w="4573"/>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jc w:val="center"/>
        </w:trPr>
        <w:tc>
          <w:tcPr>
            <w:tcW w:w="709" w:type="dxa"/>
            <w:shd w:val="clear" w:color="000000" w:fill="auto"/>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序号</w:t>
            </w:r>
          </w:p>
        </w:tc>
        <w:tc>
          <w:tcPr>
            <w:tcW w:w="4573" w:type="dxa"/>
            <w:shd w:val="clear" w:color="000000" w:fill="auto"/>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单位</w:t>
            </w:r>
          </w:p>
        </w:tc>
        <w:tc>
          <w:tcPr>
            <w:tcW w:w="3472" w:type="dxa"/>
            <w:shd w:val="clear" w:color="000000" w:fill="auto"/>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709" w:type="dxa"/>
            <w:shd w:val="clear" w:color="000000" w:fill="auto"/>
            <w:vAlign w:val="center"/>
          </w:tcPr>
          <w:p>
            <w:pPr>
              <w:widowControl/>
              <w:numPr>
                <w:ilvl w:val="0"/>
                <w:numId w:val="2"/>
              </w:numPr>
              <w:adjustRightInd w:val="0"/>
              <w:snapToGrid w:val="0"/>
              <w:jc w:val="center"/>
              <w:rPr>
                <w:rFonts w:asciiTheme="minorEastAsia" w:hAnsiTheme="minorEastAsia"/>
                <w:sz w:val="18"/>
                <w:szCs w:val="18"/>
              </w:rPr>
            </w:pPr>
          </w:p>
        </w:tc>
        <w:tc>
          <w:tcPr>
            <w:tcW w:w="4573" w:type="dxa"/>
            <w:shd w:val="clear" w:color="000000" w:fill="auto"/>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上海第二工业大学</w:t>
            </w:r>
          </w:p>
        </w:tc>
        <w:tc>
          <w:tcPr>
            <w:tcW w:w="3472" w:type="dxa"/>
            <w:shd w:val="clear" w:color="000000" w:fill="auto"/>
            <w:vAlign w:val="center"/>
          </w:tcPr>
          <w:p>
            <w:pPr>
              <w:widowControl/>
              <w:adjustRightInd w:val="0"/>
              <w:snapToGrid w:val="0"/>
              <w:jc w:val="left"/>
              <w:rPr>
                <w:rFonts w:asciiTheme="minorEastAsia" w:hAnsiTheme="minorEastAsia"/>
                <w:sz w:val="18"/>
                <w:szCs w:val="18"/>
              </w:rPr>
            </w:pPr>
            <w:r>
              <w:rPr>
                <w:rFonts w:hint="eastAsia" w:asciiTheme="minorEastAsia" w:hAnsiTheme="minorEastAsia"/>
                <w:sz w:val="18"/>
                <w:szCs w:val="18"/>
                <w:lang w:val="en-US" w:eastAsia="zh-CN"/>
              </w:rPr>
              <w:t>牵头</w:t>
            </w:r>
            <w:r>
              <w:rPr>
                <w:rFonts w:hint="eastAsia" w:asciiTheme="minorEastAsia" w:hAnsiTheme="minorEastAsia"/>
                <w:sz w:val="18"/>
                <w:szCs w:val="18"/>
              </w:rPr>
              <w:t>标准章节、编制说明起草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709" w:type="dxa"/>
            <w:shd w:val="clear" w:color="000000" w:fill="auto"/>
            <w:vAlign w:val="center"/>
          </w:tcPr>
          <w:p>
            <w:pPr>
              <w:widowControl/>
              <w:numPr>
                <w:ilvl w:val="0"/>
                <w:numId w:val="2"/>
              </w:numPr>
              <w:adjustRightInd w:val="0"/>
              <w:snapToGrid w:val="0"/>
              <w:rPr>
                <w:rFonts w:asciiTheme="minorEastAsia" w:hAnsiTheme="minorEastAsia"/>
                <w:sz w:val="18"/>
                <w:szCs w:val="18"/>
              </w:rPr>
            </w:pPr>
          </w:p>
        </w:tc>
        <w:tc>
          <w:tcPr>
            <w:tcW w:w="4573" w:type="dxa"/>
            <w:shd w:val="clear" w:color="000000" w:fill="auto"/>
            <w:vAlign w:val="center"/>
          </w:tcPr>
          <w:p>
            <w:pPr>
              <w:widowControl/>
              <w:adjustRightInd w:val="0"/>
              <w:snapToGrid w:val="0"/>
              <w:jc w:val="center"/>
              <w:rPr>
                <w:rFonts w:asciiTheme="minorEastAsia" w:hAnsiTheme="minorEastAsia"/>
                <w:sz w:val="18"/>
                <w:szCs w:val="20"/>
              </w:rPr>
            </w:pPr>
            <w:r>
              <w:rPr>
                <w:rFonts w:hint="eastAsia"/>
                <w:sz w:val="18"/>
                <w:szCs w:val="20"/>
              </w:rPr>
              <w:t>北京京邦达贸易有限公司</w:t>
            </w:r>
          </w:p>
        </w:tc>
        <w:tc>
          <w:tcPr>
            <w:tcW w:w="3472" w:type="dxa"/>
            <w:vMerge w:val="restart"/>
            <w:shd w:val="clear" w:color="000000" w:fill="auto"/>
            <w:vAlign w:val="center"/>
          </w:tcPr>
          <w:p>
            <w:pPr>
              <w:adjustRightInd w:val="0"/>
              <w:snapToGrid w:val="0"/>
              <w:jc w:val="left"/>
              <w:rPr>
                <w:rFonts w:asciiTheme="minorEastAsia" w:hAnsiTheme="minorEastAsia"/>
                <w:sz w:val="18"/>
                <w:szCs w:val="18"/>
              </w:rPr>
            </w:pPr>
            <w:r>
              <w:rPr>
                <w:rFonts w:hint="eastAsia" w:asciiTheme="minorEastAsia" w:hAnsiTheme="minorEastAsia"/>
                <w:sz w:val="18"/>
                <w:szCs w:val="18"/>
              </w:rPr>
              <w:t>行业调研、行业数据收集整理、标准条款建议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jc w:val="center"/>
        </w:trPr>
        <w:tc>
          <w:tcPr>
            <w:tcW w:w="709" w:type="dxa"/>
            <w:shd w:val="clear" w:color="000000" w:fill="auto"/>
            <w:vAlign w:val="center"/>
          </w:tcPr>
          <w:p>
            <w:pPr>
              <w:widowControl/>
              <w:numPr>
                <w:ilvl w:val="0"/>
                <w:numId w:val="2"/>
              </w:numPr>
              <w:adjustRightInd w:val="0"/>
              <w:snapToGrid w:val="0"/>
              <w:jc w:val="center"/>
              <w:rPr>
                <w:rFonts w:asciiTheme="minorEastAsia" w:hAnsiTheme="minorEastAsia"/>
                <w:sz w:val="18"/>
                <w:szCs w:val="18"/>
              </w:rPr>
            </w:pPr>
          </w:p>
        </w:tc>
        <w:tc>
          <w:tcPr>
            <w:tcW w:w="4573" w:type="dxa"/>
            <w:shd w:val="clear" w:color="000000" w:fill="auto"/>
            <w:vAlign w:val="center"/>
          </w:tcPr>
          <w:p>
            <w:pPr>
              <w:widowControl/>
              <w:adjustRightInd w:val="0"/>
              <w:snapToGrid w:val="0"/>
              <w:jc w:val="center"/>
              <w:rPr>
                <w:sz w:val="18"/>
                <w:szCs w:val="20"/>
              </w:rPr>
            </w:pPr>
            <w:r>
              <w:rPr>
                <w:rFonts w:hint="eastAsia"/>
                <w:sz w:val="18"/>
                <w:szCs w:val="20"/>
              </w:rPr>
              <w:t>顺启和（深圳）科技有限公司</w:t>
            </w:r>
          </w:p>
        </w:tc>
        <w:tc>
          <w:tcPr>
            <w:tcW w:w="3472" w:type="dxa"/>
            <w:vMerge w:val="continue"/>
            <w:shd w:val="clear" w:color="000000" w:fill="auto"/>
            <w:vAlign w:val="center"/>
          </w:tcPr>
          <w:p>
            <w:pPr>
              <w:adjustRightInd w:val="0"/>
              <w:snapToGrid w:val="0"/>
              <w:jc w:val="left"/>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709" w:type="dxa"/>
            <w:shd w:val="clear" w:color="000000" w:fill="auto"/>
            <w:vAlign w:val="center"/>
          </w:tcPr>
          <w:p>
            <w:pPr>
              <w:widowControl/>
              <w:numPr>
                <w:ilvl w:val="0"/>
                <w:numId w:val="2"/>
              </w:numPr>
              <w:adjustRightInd w:val="0"/>
              <w:snapToGrid w:val="0"/>
              <w:jc w:val="center"/>
              <w:rPr>
                <w:rFonts w:asciiTheme="minorEastAsia" w:hAnsiTheme="minorEastAsia"/>
                <w:sz w:val="18"/>
                <w:szCs w:val="18"/>
              </w:rPr>
            </w:pPr>
          </w:p>
        </w:tc>
        <w:tc>
          <w:tcPr>
            <w:tcW w:w="4573" w:type="dxa"/>
            <w:shd w:val="clear" w:color="000000" w:fill="auto"/>
            <w:vAlign w:val="center"/>
          </w:tcPr>
          <w:p>
            <w:pPr>
              <w:widowControl/>
              <w:adjustRightInd w:val="0"/>
              <w:snapToGrid w:val="0"/>
              <w:jc w:val="center"/>
              <w:rPr>
                <w:sz w:val="18"/>
                <w:szCs w:val="20"/>
              </w:rPr>
            </w:pPr>
            <w:r>
              <w:rPr>
                <w:rFonts w:hint="eastAsia"/>
                <w:sz w:val="18"/>
                <w:szCs w:val="20"/>
              </w:rPr>
              <w:t>上海市质量与标准化研究院</w:t>
            </w:r>
          </w:p>
        </w:tc>
        <w:tc>
          <w:tcPr>
            <w:tcW w:w="3472" w:type="dxa"/>
            <w:vMerge w:val="restart"/>
            <w:shd w:val="clear" w:color="000000" w:fill="auto"/>
            <w:vAlign w:val="center"/>
          </w:tcPr>
          <w:p>
            <w:pPr>
              <w:widowControl/>
              <w:adjustRightInd w:val="0"/>
              <w:snapToGrid w:val="0"/>
              <w:jc w:val="left"/>
              <w:rPr>
                <w:rFonts w:asciiTheme="minorEastAsia" w:hAnsiTheme="minorEastAsia"/>
                <w:sz w:val="18"/>
                <w:szCs w:val="18"/>
              </w:rPr>
            </w:pPr>
            <w:r>
              <w:rPr>
                <w:rFonts w:hint="eastAsia" w:asciiTheme="minorEastAsia" w:hAnsiTheme="minorEastAsia"/>
                <w:sz w:val="18"/>
                <w:szCs w:val="18"/>
              </w:rPr>
              <w:t>在线调研、数据收集、整理与反馈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jc w:val="center"/>
        </w:trPr>
        <w:tc>
          <w:tcPr>
            <w:tcW w:w="709" w:type="dxa"/>
            <w:shd w:val="clear" w:color="000000" w:fill="auto"/>
            <w:vAlign w:val="center"/>
          </w:tcPr>
          <w:p>
            <w:pPr>
              <w:widowControl/>
              <w:numPr>
                <w:ilvl w:val="0"/>
                <w:numId w:val="2"/>
              </w:numPr>
              <w:adjustRightInd w:val="0"/>
              <w:snapToGrid w:val="0"/>
              <w:jc w:val="center"/>
              <w:rPr>
                <w:rFonts w:asciiTheme="minorEastAsia" w:hAnsiTheme="minorEastAsia"/>
                <w:sz w:val="18"/>
                <w:szCs w:val="18"/>
              </w:rPr>
            </w:pPr>
          </w:p>
        </w:tc>
        <w:tc>
          <w:tcPr>
            <w:tcW w:w="4573" w:type="dxa"/>
            <w:shd w:val="clear" w:color="000000" w:fill="auto"/>
            <w:vAlign w:val="center"/>
          </w:tcPr>
          <w:p>
            <w:pPr>
              <w:spacing w:line="360" w:lineRule="auto"/>
              <w:ind w:firstLine="360" w:firstLineChars="200"/>
              <w:jc w:val="center"/>
              <w:rPr>
                <w:sz w:val="18"/>
                <w:szCs w:val="20"/>
              </w:rPr>
            </w:pPr>
            <w:r>
              <w:rPr>
                <w:rFonts w:hint="eastAsia"/>
                <w:sz w:val="18"/>
                <w:szCs w:val="20"/>
              </w:rPr>
              <w:t>上海伊邦医药信息科技股份有限公司</w:t>
            </w:r>
          </w:p>
        </w:tc>
        <w:tc>
          <w:tcPr>
            <w:tcW w:w="3472" w:type="dxa"/>
            <w:vMerge w:val="continue"/>
            <w:shd w:val="clear" w:color="000000" w:fill="auto"/>
            <w:vAlign w:val="center"/>
          </w:tcPr>
          <w:p>
            <w:pPr>
              <w:widowControl/>
              <w:adjustRightInd w:val="0"/>
              <w:snapToGrid w:val="0"/>
              <w:jc w:val="center"/>
              <w:rPr>
                <w:rFonts w:asciiTheme="minorEastAsia" w:hAnsiTheme="minorEastAsia"/>
                <w:sz w:val="18"/>
                <w:szCs w:val="18"/>
              </w:rPr>
            </w:pPr>
          </w:p>
        </w:tc>
      </w:tr>
    </w:tbl>
    <w:p>
      <w:pPr>
        <w:spacing w:line="360" w:lineRule="auto"/>
        <w:ind w:firstLine="560" w:firstLineChars="200"/>
        <w:rPr>
          <w:rFonts w:ascii="宋体" w:hAnsi="宋体" w:eastAsia="宋体"/>
          <w:sz w:val="28"/>
          <w:szCs w:val="28"/>
        </w:rPr>
      </w:pPr>
      <w:r>
        <w:rPr>
          <w:rFonts w:ascii="宋体" w:hAnsi="宋体" w:eastAsia="宋体"/>
          <w:sz w:val="28"/>
          <w:szCs w:val="28"/>
        </w:rPr>
        <w:t>2022年1月</w:t>
      </w:r>
      <w:r>
        <w:rPr>
          <w:rFonts w:hint="eastAsia" w:ascii="宋体" w:hAnsi="宋体" w:eastAsia="宋体"/>
          <w:sz w:val="28"/>
          <w:szCs w:val="28"/>
        </w:rPr>
        <w:t>-</w:t>
      </w:r>
      <w:r>
        <w:rPr>
          <w:rFonts w:ascii="宋体" w:hAnsi="宋体" w:eastAsia="宋体"/>
          <w:sz w:val="28"/>
          <w:szCs w:val="28"/>
        </w:rPr>
        <w:t>5</w:t>
      </w:r>
      <w:r>
        <w:rPr>
          <w:rFonts w:hint="eastAsia" w:ascii="宋体" w:hAnsi="宋体" w:eastAsia="宋体"/>
          <w:sz w:val="28"/>
          <w:szCs w:val="28"/>
        </w:rPr>
        <w:t>月</w:t>
      </w:r>
      <w:r>
        <w:rPr>
          <w:rFonts w:ascii="宋体" w:hAnsi="宋体" w:eastAsia="宋体"/>
          <w:sz w:val="28"/>
          <w:szCs w:val="28"/>
        </w:rPr>
        <w:t>，</w:t>
      </w:r>
      <w:r>
        <w:rPr>
          <w:rFonts w:hint="eastAsia" w:ascii="宋体" w:hAnsi="宋体" w:eastAsia="宋体"/>
          <w:sz w:val="28"/>
          <w:szCs w:val="28"/>
        </w:rPr>
        <w:t>标准起草小组</w:t>
      </w:r>
      <w:r>
        <w:rPr>
          <w:rFonts w:hint="eastAsia" w:hAnsi="宋体" w:eastAsia="宋体"/>
          <w:sz w:val="28"/>
          <w:szCs w:val="28"/>
        </w:rPr>
        <w:t>重点对电商企业、第三方物流企业的情况进行了调研</w:t>
      </w:r>
      <w:r>
        <w:rPr>
          <w:rFonts w:hint="eastAsia" w:hAnsi="宋体" w:eastAsia="宋体"/>
          <w:sz w:val="28"/>
          <w:szCs w:val="28"/>
          <w:lang w:eastAsia="zh-CN"/>
        </w:rPr>
        <w:t>，</w:t>
      </w:r>
      <w:r>
        <w:rPr>
          <w:rFonts w:hint="eastAsia" w:hAnsi="宋体" w:eastAsia="宋体"/>
          <w:sz w:val="28"/>
          <w:szCs w:val="28"/>
        </w:rPr>
        <w:t>先后调研了京东物流（昆山仓库）、顺丰速运、上海宝尊电子商务有限公司等企业。调研内容包括各个企业有关电子商务逆向物流服务的服务流程、服务要求、服务内容等。</w:t>
      </w:r>
      <w:r>
        <w:rPr>
          <w:rFonts w:hint="eastAsia" w:ascii="宋体" w:hAnsi="宋体" w:eastAsia="宋体"/>
          <w:sz w:val="28"/>
          <w:szCs w:val="28"/>
        </w:rPr>
        <w:t>根据调研期间相关企业提出的意见和建议，形成了工作组讨论稿</w:t>
      </w:r>
      <w:r>
        <w:rPr>
          <w:rFonts w:hint="eastAsia" w:ascii="宋体" w:hAnsi="宋体" w:eastAsia="宋体"/>
          <w:sz w:val="28"/>
          <w:szCs w:val="28"/>
          <w:lang w:eastAsia="zh-CN"/>
        </w:rPr>
        <w:t>（</w:t>
      </w:r>
      <w:r>
        <w:rPr>
          <w:rFonts w:hint="eastAsia" w:ascii="宋体" w:hAnsi="宋体" w:eastAsia="宋体"/>
          <w:sz w:val="28"/>
          <w:szCs w:val="28"/>
          <w:lang w:val="en-US" w:eastAsia="zh-CN"/>
        </w:rPr>
        <w:t>一稿）</w:t>
      </w:r>
      <w:r>
        <w:rPr>
          <w:rFonts w:hint="eastAsia" w:ascii="宋体" w:hAnsi="宋体" w:eastAsia="宋体"/>
          <w:sz w:val="28"/>
          <w:szCs w:val="28"/>
        </w:rPr>
        <w:t>。</w:t>
      </w:r>
    </w:p>
    <w:p>
      <w:pPr>
        <w:pStyle w:val="14"/>
        <w:ind w:firstLine="560"/>
        <w:rPr>
          <w:rFonts w:hAnsi="宋体" w:eastAsia="宋体"/>
          <w:kern w:val="2"/>
          <w:sz w:val="28"/>
          <w:szCs w:val="28"/>
        </w:rPr>
      </w:pPr>
      <w:r>
        <w:rPr>
          <w:rFonts w:hint="eastAsia" w:hAnsi="宋体" w:eastAsia="宋体"/>
          <w:kern w:val="2"/>
          <w:sz w:val="28"/>
          <w:szCs w:val="28"/>
        </w:rPr>
        <w:t>2</w:t>
      </w:r>
      <w:r>
        <w:rPr>
          <w:rFonts w:hAnsi="宋体" w:eastAsia="宋体"/>
          <w:kern w:val="2"/>
          <w:sz w:val="28"/>
          <w:szCs w:val="28"/>
        </w:rPr>
        <w:t>022</w:t>
      </w:r>
      <w:r>
        <w:rPr>
          <w:rFonts w:hint="eastAsia" w:hAnsi="宋体" w:eastAsia="宋体"/>
          <w:kern w:val="2"/>
          <w:sz w:val="28"/>
          <w:szCs w:val="28"/>
        </w:rPr>
        <w:t>年</w:t>
      </w:r>
      <w:r>
        <w:rPr>
          <w:rFonts w:hAnsi="宋体" w:eastAsia="宋体"/>
          <w:kern w:val="2"/>
          <w:sz w:val="28"/>
          <w:szCs w:val="28"/>
        </w:rPr>
        <w:t>6</w:t>
      </w:r>
      <w:r>
        <w:rPr>
          <w:rFonts w:hint="eastAsia" w:hAnsi="宋体" w:eastAsia="宋体"/>
          <w:kern w:val="2"/>
          <w:sz w:val="28"/>
          <w:szCs w:val="28"/>
        </w:rPr>
        <w:t>月，标准起草小组召集了行业内的专家（包括京东物流、顺丰、宝尊电商、盒马、叮咚买菜、药房网商城等）进行了专家讨论会，专家们就标准的范围、面向主体、服务对象以及主体内容等提出了38条建议，起草组根据专家们的建议进行了修改完善，形成了工作组讨论稿</w:t>
      </w:r>
      <w:r>
        <w:rPr>
          <w:rFonts w:hint="eastAsia" w:hAnsi="宋体" w:eastAsia="宋体"/>
          <w:kern w:val="2"/>
          <w:sz w:val="28"/>
          <w:szCs w:val="28"/>
          <w:lang w:eastAsia="zh-CN"/>
        </w:rPr>
        <w:t>（</w:t>
      </w:r>
      <w:r>
        <w:rPr>
          <w:rFonts w:hint="eastAsia" w:hAnsi="宋体" w:eastAsia="宋体"/>
          <w:kern w:val="2"/>
          <w:sz w:val="28"/>
          <w:szCs w:val="28"/>
          <w:lang w:val="en-US" w:eastAsia="zh-CN"/>
        </w:rPr>
        <w:t>二稿）</w:t>
      </w:r>
      <w:r>
        <w:rPr>
          <w:rFonts w:hint="eastAsia" w:hAnsi="宋体" w:eastAsia="宋体"/>
          <w:kern w:val="2"/>
          <w:sz w:val="28"/>
          <w:szCs w:val="28"/>
        </w:rPr>
        <w:t>。</w:t>
      </w:r>
    </w:p>
    <w:p>
      <w:pPr>
        <w:spacing w:line="360" w:lineRule="auto"/>
        <w:ind w:firstLine="560" w:firstLineChars="200"/>
        <w:rPr>
          <w:rFonts w:ascii="宋体" w:hAnsi="宋体" w:eastAsia="宋体"/>
          <w:sz w:val="28"/>
          <w:szCs w:val="28"/>
        </w:rPr>
      </w:pPr>
      <w:r>
        <w:rPr>
          <w:rFonts w:ascii="宋体" w:hAnsi="宋体" w:eastAsia="宋体"/>
          <w:sz w:val="28"/>
          <w:szCs w:val="28"/>
        </w:rPr>
        <w:t>2022年7月</w:t>
      </w:r>
      <w:r>
        <w:rPr>
          <w:rFonts w:hint="eastAsia" w:ascii="宋体" w:hAnsi="宋体" w:eastAsia="宋体"/>
          <w:sz w:val="28"/>
          <w:szCs w:val="28"/>
        </w:rPr>
        <w:t>-10月</w:t>
      </w:r>
      <w:r>
        <w:rPr>
          <w:rFonts w:ascii="宋体" w:hAnsi="宋体" w:eastAsia="宋体"/>
          <w:sz w:val="28"/>
          <w:szCs w:val="28"/>
        </w:rPr>
        <w:t>，</w:t>
      </w:r>
      <w:r>
        <w:rPr>
          <w:rFonts w:hint="eastAsia" w:ascii="宋体" w:hAnsi="宋体" w:eastAsia="宋体"/>
          <w:sz w:val="28"/>
          <w:szCs w:val="28"/>
        </w:rPr>
        <w:t>标准起草小组进行了1</w:t>
      </w:r>
      <w:r>
        <w:rPr>
          <w:rFonts w:hint="eastAsia" w:ascii="宋体" w:hAnsi="宋体" w:eastAsia="宋体"/>
          <w:sz w:val="28"/>
          <w:szCs w:val="28"/>
          <w:lang w:val="en-US" w:eastAsia="zh-CN"/>
        </w:rPr>
        <w:t>5</w:t>
      </w:r>
      <w:r>
        <w:rPr>
          <w:rFonts w:hint="eastAsia" w:ascii="宋体" w:hAnsi="宋体" w:eastAsia="宋体"/>
          <w:sz w:val="28"/>
          <w:szCs w:val="28"/>
        </w:rPr>
        <w:t>次讨论会，对当前</w:t>
      </w:r>
      <w:r>
        <w:rPr>
          <w:rFonts w:hint="eastAsia" w:hAnsi="宋体" w:eastAsia="宋体"/>
          <w:sz w:val="28"/>
          <w:szCs w:val="28"/>
        </w:rPr>
        <w:t>工作组讨论稿</w:t>
      </w:r>
      <w:r>
        <w:rPr>
          <w:rFonts w:hint="eastAsia" w:ascii="宋体" w:hAnsi="宋体" w:eastAsia="宋体"/>
          <w:sz w:val="28"/>
          <w:szCs w:val="28"/>
        </w:rPr>
        <w:t>存在的分歧部分进行了反复的沟通及讨论，同时对</w:t>
      </w:r>
      <w:r>
        <w:rPr>
          <w:rFonts w:hint="eastAsia" w:hAnsi="宋体" w:eastAsia="宋体"/>
          <w:sz w:val="28"/>
          <w:szCs w:val="28"/>
        </w:rPr>
        <w:t>工作组讨论稿</w:t>
      </w:r>
      <w:r>
        <w:rPr>
          <w:rFonts w:hint="eastAsia" w:ascii="宋体" w:hAnsi="宋体" w:eastAsia="宋体"/>
          <w:sz w:val="28"/>
          <w:szCs w:val="28"/>
        </w:rPr>
        <w:t>的条款再次进行了补充完善。</w:t>
      </w:r>
      <w:r>
        <w:rPr>
          <w:rFonts w:ascii="宋体" w:hAnsi="宋体" w:eastAsia="宋体"/>
          <w:sz w:val="28"/>
          <w:szCs w:val="28"/>
        </w:rPr>
        <w:t xml:space="preserve"> </w:t>
      </w:r>
    </w:p>
    <w:p>
      <w:pPr>
        <w:widowControl/>
        <w:spacing w:line="360" w:lineRule="auto"/>
        <w:ind w:firstLine="560" w:firstLineChars="200"/>
        <w:rPr>
          <w:rFonts w:ascii="仿宋_GB2312" w:hAnsi="宋体" w:eastAsia="仿宋_GB2312"/>
          <w:sz w:val="24"/>
          <w:szCs w:val="24"/>
        </w:rPr>
      </w:pPr>
      <w:r>
        <w:rPr>
          <w:rFonts w:hint="eastAsia" w:ascii="宋体" w:hAnsi="宋体"/>
          <w:kern w:val="0"/>
          <w:sz w:val="28"/>
          <w:szCs w:val="28"/>
        </w:rPr>
        <w:t>2</w:t>
      </w:r>
      <w:r>
        <w:rPr>
          <w:rFonts w:ascii="宋体" w:hAnsi="宋体"/>
          <w:kern w:val="0"/>
          <w:sz w:val="28"/>
          <w:szCs w:val="28"/>
        </w:rPr>
        <w:t>022</w:t>
      </w:r>
      <w:r>
        <w:rPr>
          <w:rFonts w:hint="eastAsia" w:ascii="宋体" w:hAnsi="宋体"/>
          <w:kern w:val="0"/>
          <w:sz w:val="28"/>
          <w:szCs w:val="28"/>
        </w:rPr>
        <w:t>年</w:t>
      </w:r>
      <w:r>
        <w:rPr>
          <w:rFonts w:ascii="宋体" w:hAnsi="宋体"/>
          <w:kern w:val="0"/>
          <w:sz w:val="28"/>
          <w:szCs w:val="28"/>
        </w:rPr>
        <w:t>10</w:t>
      </w:r>
      <w:r>
        <w:rPr>
          <w:rFonts w:hint="eastAsia" w:ascii="宋体" w:hAnsi="宋体"/>
          <w:kern w:val="0"/>
          <w:sz w:val="28"/>
          <w:szCs w:val="28"/>
        </w:rPr>
        <w:t>月3</w:t>
      </w:r>
      <w:r>
        <w:rPr>
          <w:rFonts w:ascii="宋体" w:hAnsi="宋体"/>
          <w:kern w:val="0"/>
          <w:sz w:val="28"/>
          <w:szCs w:val="28"/>
        </w:rPr>
        <w:t>1</w:t>
      </w:r>
      <w:r>
        <w:rPr>
          <w:rFonts w:hint="eastAsia" w:ascii="宋体" w:hAnsi="宋体"/>
          <w:kern w:val="0"/>
          <w:sz w:val="28"/>
          <w:szCs w:val="28"/>
        </w:rPr>
        <w:t>日，标准起草小组在2022年逆向物流标准化工作组年会上对该标准的进度情况进行了汇报，专家分别就标准的范围、规定、基本要求、原则、指标等方面共计提出了56条建议，起草组根据专家建议在会后进行了修改。</w:t>
      </w:r>
    </w:p>
    <w:p>
      <w:pPr>
        <w:pStyle w:val="14"/>
        <w:ind w:firstLine="560"/>
        <w:rPr>
          <w:rFonts w:hAnsi="宋体"/>
          <w:kern w:val="2"/>
          <w:sz w:val="28"/>
          <w:szCs w:val="28"/>
        </w:rPr>
      </w:pPr>
      <w:r>
        <w:rPr>
          <w:rFonts w:hint="eastAsia" w:hAnsi="宋体"/>
          <w:kern w:val="2"/>
          <w:sz w:val="28"/>
          <w:szCs w:val="28"/>
        </w:rPr>
        <w:t>202</w:t>
      </w:r>
      <w:r>
        <w:rPr>
          <w:rFonts w:hAnsi="宋体"/>
          <w:kern w:val="2"/>
          <w:sz w:val="28"/>
          <w:szCs w:val="28"/>
        </w:rPr>
        <w:t>2</w:t>
      </w:r>
      <w:r>
        <w:rPr>
          <w:rFonts w:hint="eastAsia" w:hAnsi="宋体"/>
          <w:kern w:val="2"/>
          <w:sz w:val="28"/>
          <w:szCs w:val="28"/>
        </w:rPr>
        <w:t>年11月</w:t>
      </w:r>
      <w:r>
        <w:rPr>
          <w:rFonts w:hint="eastAsia" w:hAnsi="宋体"/>
          <w:kern w:val="2"/>
          <w:sz w:val="28"/>
          <w:szCs w:val="28"/>
          <w:lang w:val="en-US" w:eastAsia="zh-CN"/>
        </w:rPr>
        <w:t>-12月</w:t>
      </w:r>
      <w:r>
        <w:rPr>
          <w:rFonts w:hint="eastAsia" w:hAnsi="宋体"/>
          <w:kern w:val="2"/>
          <w:sz w:val="28"/>
          <w:szCs w:val="28"/>
        </w:rPr>
        <w:t>，标准起草小组在线召开小组</w:t>
      </w:r>
      <w:r>
        <w:rPr>
          <w:rFonts w:hint="eastAsia" w:ascii="宋体" w:hAnsi="宋体" w:eastAsia="宋体"/>
          <w:sz w:val="28"/>
          <w:szCs w:val="28"/>
        </w:rPr>
        <w:t>进行了</w:t>
      </w:r>
      <w:r>
        <w:rPr>
          <w:rFonts w:hint="eastAsia" w:hAnsi="宋体" w:eastAsia="宋体"/>
          <w:sz w:val="28"/>
          <w:szCs w:val="28"/>
          <w:lang w:val="en-US" w:eastAsia="zh-CN"/>
        </w:rPr>
        <w:t>5</w:t>
      </w:r>
      <w:r>
        <w:rPr>
          <w:rFonts w:hint="eastAsia" w:ascii="宋体" w:hAnsi="宋体" w:eastAsia="宋体"/>
          <w:sz w:val="28"/>
          <w:szCs w:val="28"/>
        </w:rPr>
        <w:t>次讨论会，</w:t>
      </w:r>
      <w:r>
        <w:rPr>
          <w:rFonts w:hint="eastAsia" w:hAnsi="宋体" w:eastAsia="宋体"/>
          <w:sz w:val="28"/>
          <w:szCs w:val="28"/>
          <w:lang w:val="en-US" w:eastAsia="zh-CN"/>
        </w:rPr>
        <w:t>再次</w:t>
      </w:r>
      <w:r>
        <w:rPr>
          <w:rFonts w:hint="eastAsia" w:hAnsi="宋体"/>
          <w:kern w:val="2"/>
          <w:sz w:val="28"/>
          <w:szCs w:val="28"/>
        </w:rPr>
        <w:t>对标准的内容逐条进行了确认并达成了一致意见，形成了标准的征求意见稿。</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四、标准编制原则</w:t>
      </w:r>
    </w:p>
    <w:p>
      <w:pPr>
        <w:pStyle w:val="12"/>
        <w:widowControl/>
        <w:ind w:firstLine="560"/>
        <w:rPr>
          <w:rFonts w:ascii="宋体" w:hAnsi="宋体" w:eastAsia="宋体" w:cs="Times New Roman"/>
          <w:kern w:val="0"/>
          <w:sz w:val="28"/>
          <w:szCs w:val="28"/>
        </w:rPr>
      </w:pPr>
      <w:r>
        <w:rPr>
          <w:rFonts w:hint="eastAsia" w:ascii="宋体" w:hAnsi="宋体" w:eastAsia="宋体" w:cs="Times New Roman"/>
          <w:kern w:val="0"/>
          <w:sz w:val="28"/>
          <w:szCs w:val="28"/>
        </w:rPr>
        <w:t>（一）</w:t>
      </w:r>
      <w:r>
        <w:rPr>
          <w:rFonts w:hint="eastAsia" w:ascii="宋体" w:hAnsi="宋体" w:eastAsia="宋体" w:cs="Times New Roman"/>
          <w:kern w:val="0"/>
          <w:sz w:val="28"/>
          <w:szCs w:val="28"/>
          <w:lang w:val="en-US" w:eastAsia="zh-CN"/>
        </w:rPr>
        <w:t>规范性</w:t>
      </w:r>
      <w:r>
        <w:rPr>
          <w:rFonts w:hint="eastAsia" w:ascii="宋体" w:hAnsi="宋体" w:eastAsia="宋体" w:cs="Times New Roman"/>
          <w:kern w:val="0"/>
          <w:sz w:val="28"/>
          <w:szCs w:val="28"/>
        </w:rPr>
        <w:t>原则</w:t>
      </w:r>
    </w:p>
    <w:p>
      <w:pPr>
        <w:pStyle w:val="12"/>
        <w:widowControl/>
        <w:ind w:firstLine="560"/>
        <w:rPr>
          <w:rFonts w:ascii="宋体" w:hAnsi="宋体" w:eastAsia="宋体" w:cs="Times New Roman"/>
          <w:kern w:val="0"/>
          <w:sz w:val="28"/>
          <w:szCs w:val="28"/>
        </w:rPr>
      </w:pPr>
      <w:r>
        <w:rPr>
          <w:rFonts w:hint="eastAsia" w:ascii="宋体" w:hAnsi="宋体" w:eastAsia="宋体" w:cs="Times New Roman"/>
          <w:kern w:val="0"/>
          <w:sz w:val="28"/>
          <w:szCs w:val="28"/>
        </w:rPr>
        <w:t>本文件严格按照《GB/T 1.1-2020 标准化工作导则  第1部分：标准化文件的结构和起草规则》编写。</w:t>
      </w:r>
    </w:p>
    <w:p>
      <w:pPr>
        <w:pStyle w:val="14"/>
        <w:spacing w:line="360" w:lineRule="auto"/>
        <w:ind w:firstLine="560"/>
        <w:rPr>
          <w:rFonts w:hAnsi="宋体"/>
          <w:kern w:val="2"/>
          <w:sz w:val="28"/>
          <w:szCs w:val="28"/>
        </w:rPr>
      </w:pPr>
      <w:r>
        <w:rPr>
          <w:rFonts w:hint="eastAsia" w:hAnsi="宋体" w:eastAsia="宋体" w:cs="Times New Roman"/>
          <w:sz w:val="28"/>
          <w:szCs w:val="28"/>
        </w:rPr>
        <w:t>（二）</w:t>
      </w:r>
      <w:r>
        <w:rPr>
          <w:rFonts w:hint="eastAsia" w:hAnsi="宋体"/>
          <w:kern w:val="2"/>
          <w:sz w:val="28"/>
          <w:szCs w:val="28"/>
        </w:rPr>
        <w:t>普遍性原则</w:t>
      </w:r>
    </w:p>
    <w:p>
      <w:pPr>
        <w:pStyle w:val="12"/>
        <w:widowControl/>
        <w:ind w:firstLine="560"/>
        <w:rPr>
          <w:rFonts w:ascii="宋体" w:hAnsi="宋体" w:eastAsia="宋体" w:cs="Times New Roman"/>
          <w:kern w:val="0"/>
          <w:sz w:val="28"/>
          <w:szCs w:val="28"/>
        </w:rPr>
      </w:pPr>
      <w:r>
        <w:rPr>
          <w:rFonts w:hint="eastAsia" w:ascii="宋体" w:hAnsi="宋体" w:eastAsia="宋体" w:cs="Times New Roman"/>
          <w:kern w:val="0"/>
          <w:sz w:val="28"/>
          <w:szCs w:val="28"/>
        </w:rPr>
        <w:t>本标准以行业应达到的基本水平为原则，以行业内的平均水平为参照，确定服务</w:t>
      </w:r>
      <w:r>
        <w:rPr>
          <w:rFonts w:hint="eastAsia" w:ascii="宋体" w:hAnsi="宋体" w:eastAsia="宋体" w:cs="Times New Roman"/>
          <w:kern w:val="0"/>
          <w:sz w:val="28"/>
          <w:szCs w:val="28"/>
          <w:lang w:val="en-US" w:eastAsia="zh-CN"/>
        </w:rPr>
        <w:t>作业</w:t>
      </w:r>
      <w:r>
        <w:rPr>
          <w:rFonts w:hint="eastAsia" w:ascii="宋体" w:hAnsi="宋体" w:eastAsia="宋体" w:cs="Times New Roman"/>
          <w:kern w:val="0"/>
          <w:sz w:val="28"/>
          <w:szCs w:val="28"/>
        </w:rPr>
        <w:t>流程与</w:t>
      </w:r>
      <w:r>
        <w:rPr>
          <w:rFonts w:hint="eastAsia" w:ascii="宋体" w:hAnsi="宋体" w:eastAsia="宋体" w:cs="Times New Roman"/>
          <w:kern w:val="0"/>
          <w:sz w:val="28"/>
          <w:szCs w:val="28"/>
          <w:lang w:val="en-US" w:eastAsia="zh-CN"/>
        </w:rPr>
        <w:t>要求</w:t>
      </w:r>
      <w:r>
        <w:rPr>
          <w:rFonts w:hint="eastAsia" w:ascii="宋体" w:hAnsi="宋体" w:eastAsia="宋体" w:cs="Times New Roman"/>
          <w:kern w:val="0"/>
          <w:sz w:val="28"/>
          <w:szCs w:val="28"/>
        </w:rPr>
        <w:t>。</w:t>
      </w:r>
      <w:r>
        <w:rPr>
          <w:rFonts w:hint="eastAsia" w:ascii="宋体" w:hAnsi="宋体" w:eastAsia="宋体" w:cs="Times New Roman"/>
          <w:kern w:val="0"/>
          <w:sz w:val="28"/>
          <w:szCs w:val="28"/>
          <w:lang w:val="en-US" w:eastAsia="zh-CN"/>
        </w:rPr>
        <w:t>本标准同时讲提出的</w:t>
      </w:r>
      <w:r>
        <w:rPr>
          <w:rFonts w:hint="eastAsia" w:ascii="宋体" w:hAnsi="宋体" w:eastAsia="宋体" w:cs="Times New Roman"/>
          <w:kern w:val="0"/>
          <w:sz w:val="28"/>
          <w:szCs w:val="28"/>
        </w:rPr>
        <w:t>电子商务逆向物流服务质量的评价</w:t>
      </w:r>
      <w:r>
        <w:rPr>
          <w:rFonts w:hint="eastAsia" w:ascii="宋体" w:hAnsi="宋体" w:eastAsia="宋体" w:cs="Times New Roman"/>
          <w:kern w:val="0"/>
          <w:sz w:val="28"/>
          <w:szCs w:val="28"/>
          <w:lang w:val="en-US" w:eastAsia="zh-CN"/>
        </w:rPr>
        <w:t>指标作为资料性附录，相关企业可根据自实际情况设置评价指标。</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（三）促进行业发展原则</w:t>
      </w:r>
    </w:p>
    <w:p>
      <w:pPr>
        <w:spacing w:line="360" w:lineRule="auto"/>
        <w:ind w:firstLine="560" w:firstLineChars="200"/>
        <w:rPr>
          <w:rFonts w:ascii="宋体" w:hAnsi="宋体" w:eastAsia="宋体"/>
          <w:sz w:val="28"/>
          <w:szCs w:val="28"/>
        </w:rPr>
      </w:pPr>
      <w:r>
        <w:rPr>
          <w:rFonts w:hint="eastAsia" w:ascii="宋体" w:hAnsi="宋体" w:eastAsia="宋体"/>
          <w:sz w:val="28"/>
          <w:szCs w:val="28"/>
        </w:rPr>
        <w:t>通过查阅资料、召开研讨会和实地调研等方式，尽可能全面的了解我国电子商务逆向物流服务的发展现状，</w:t>
      </w:r>
      <w:r>
        <w:rPr>
          <w:rFonts w:hint="eastAsia" w:ascii="宋体" w:hAnsi="宋体" w:eastAsia="宋体"/>
          <w:sz w:val="28"/>
          <w:szCs w:val="28"/>
          <w:lang w:val="en-US" w:eastAsia="zh-CN"/>
        </w:rPr>
        <w:t>针对企业的实际问题和诉求设置服务规范条款，</w:t>
      </w:r>
      <w:r>
        <w:rPr>
          <w:rFonts w:hint="eastAsia" w:ascii="宋体" w:hAnsi="宋体" w:eastAsia="宋体"/>
          <w:sz w:val="28"/>
          <w:szCs w:val="28"/>
        </w:rPr>
        <w:t>达到促进行业健康发展的目的。</w:t>
      </w:r>
    </w:p>
    <w:p>
      <w:pPr>
        <w:spacing w:line="360" w:lineRule="auto"/>
        <w:ind w:firstLine="560" w:firstLineChars="200"/>
        <w:rPr>
          <w:rFonts w:ascii="宋体" w:hAnsi="宋体" w:eastAsia="宋体"/>
          <w:sz w:val="28"/>
          <w:szCs w:val="28"/>
        </w:rPr>
      </w:pPr>
      <w:r>
        <w:rPr>
          <w:rFonts w:hint="eastAsia" w:ascii="宋体" w:hAnsi="宋体" w:eastAsia="宋体"/>
          <w:sz w:val="28"/>
          <w:szCs w:val="28"/>
        </w:rPr>
        <w:t>（</w:t>
      </w:r>
      <w:r>
        <w:rPr>
          <w:rFonts w:hint="eastAsia" w:ascii="宋体" w:hAnsi="宋体" w:eastAsia="宋体"/>
          <w:sz w:val="28"/>
          <w:szCs w:val="28"/>
          <w:lang w:val="en-US" w:eastAsia="zh-CN"/>
        </w:rPr>
        <w:t>四</w:t>
      </w:r>
      <w:r>
        <w:rPr>
          <w:rFonts w:hint="eastAsia" w:ascii="宋体" w:hAnsi="宋体" w:eastAsia="宋体"/>
          <w:sz w:val="28"/>
          <w:szCs w:val="28"/>
        </w:rPr>
        <w:t>）与其他标准协调一致原则</w:t>
      </w:r>
    </w:p>
    <w:p>
      <w:pPr>
        <w:pStyle w:val="14"/>
        <w:ind w:firstLine="560"/>
        <w:rPr>
          <w:rFonts w:hint="eastAsia" w:hAnsi="宋体" w:eastAsia="宋体"/>
          <w:sz w:val="28"/>
          <w:szCs w:val="28"/>
        </w:rPr>
      </w:pPr>
      <w:r>
        <w:rPr>
          <w:rFonts w:hint="eastAsia" w:hAnsi="宋体" w:eastAsia="宋体"/>
          <w:sz w:val="28"/>
          <w:szCs w:val="28"/>
        </w:rPr>
        <w:t>标准起草过程中，起草组细致研究了国内外电子商务逆向物流服务相关的国家标准和行业标准，包括GB/T 24359-2021《第三方物流服务质量要求》、GB/T 39439-2020</w:t>
      </w:r>
      <w:r>
        <w:rPr>
          <w:rFonts w:hint="eastAsia" w:hAnsi="宋体" w:eastAsia="宋体"/>
          <w:sz w:val="28"/>
          <w:szCs w:val="28"/>
          <w:lang w:eastAsia="zh-CN"/>
        </w:rPr>
        <w:t>《</w:t>
      </w:r>
      <w:r>
        <w:rPr>
          <w:rFonts w:hint="eastAsia" w:hAnsi="宋体" w:eastAsia="宋体"/>
          <w:sz w:val="28"/>
          <w:szCs w:val="28"/>
        </w:rPr>
        <w:t>电子商务第三方仓储服务管理规范</w:t>
      </w:r>
      <w:r>
        <w:rPr>
          <w:rFonts w:hint="eastAsia" w:hAnsi="宋体" w:eastAsia="宋体"/>
          <w:sz w:val="28"/>
          <w:szCs w:val="28"/>
          <w:lang w:eastAsia="zh-CN"/>
        </w:rPr>
        <w:t>》、</w:t>
      </w:r>
      <w:r>
        <w:rPr>
          <w:rFonts w:hint="eastAsia" w:hAnsi="宋体" w:eastAsia="宋体"/>
          <w:sz w:val="28"/>
          <w:szCs w:val="28"/>
        </w:rPr>
        <w:t>《逆向物流服务评价指标》（待发布）等，在标准内容上做到与这些标准保持协调一致。</w:t>
      </w:r>
    </w:p>
    <w:p>
      <w:pPr>
        <w:ind w:firstLine="560" w:firstLineChars="200"/>
        <w:rPr>
          <w:rFonts w:ascii="黑体" w:hAnsi="黑体" w:eastAsia="黑体" w:cs="黑体"/>
          <w:sz w:val="28"/>
          <w:szCs w:val="28"/>
        </w:rPr>
      </w:pPr>
      <w:r>
        <w:rPr>
          <w:rFonts w:hint="eastAsia" w:ascii="黑体" w:hAnsi="黑体" w:eastAsia="黑体" w:cs="黑体"/>
          <w:sz w:val="28"/>
          <w:szCs w:val="28"/>
        </w:rPr>
        <w:t>五、标准主要内容</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（一）基本内容</w:t>
      </w:r>
    </w:p>
    <w:p>
      <w:pPr>
        <w:spacing w:line="360" w:lineRule="auto"/>
        <w:ind w:left="560"/>
        <w:rPr>
          <w:rFonts w:ascii="宋体" w:hAnsi="宋体" w:eastAsia="宋体"/>
          <w:sz w:val="28"/>
          <w:szCs w:val="28"/>
        </w:rPr>
      </w:pPr>
      <w:r>
        <w:rPr>
          <w:rFonts w:ascii="宋体" w:hAnsi="宋体" w:eastAsia="宋体"/>
          <w:sz w:val="28"/>
          <w:szCs w:val="28"/>
        </w:rPr>
        <w:t>1范围</w:t>
      </w:r>
    </w:p>
    <w:p>
      <w:pPr>
        <w:pStyle w:val="14"/>
        <w:ind w:firstLine="560"/>
        <w:rPr>
          <w:rFonts w:hint="eastAsia" w:hAnsi="宋体" w:eastAsia="宋体"/>
          <w:kern w:val="2"/>
          <w:sz w:val="28"/>
          <w:szCs w:val="28"/>
        </w:rPr>
      </w:pPr>
      <w:r>
        <w:rPr>
          <w:rFonts w:hint="eastAsia" w:hAnsi="宋体" w:eastAsia="宋体"/>
          <w:kern w:val="2"/>
          <w:sz w:val="28"/>
          <w:szCs w:val="28"/>
        </w:rPr>
        <w:t>本文件规定了电子商务逆向物流服务的基本要求、服务方案设计、服务内容及要求、追溯管理、投诉与反馈、服务评价与改进。</w:t>
      </w:r>
    </w:p>
    <w:p>
      <w:pPr>
        <w:pStyle w:val="14"/>
        <w:ind w:firstLine="560"/>
        <w:rPr>
          <w:rFonts w:hAnsi="宋体" w:eastAsia="宋体"/>
          <w:kern w:val="2"/>
          <w:sz w:val="28"/>
          <w:szCs w:val="28"/>
        </w:rPr>
      </w:pPr>
      <w:r>
        <w:rPr>
          <w:rFonts w:hint="eastAsia" w:hAnsi="宋体" w:eastAsia="宋体"/>
          <w:kern w:val="2"/>
          <w:sz w:val="28"/>
          <w:szCs w:val="28"/>
        </w:rPr>
        <w:t>本文件适用于电子商务逆向物流的服务与管理。</w:t>
      </w:r>
    </w:p>
    <w:p>
      <w:pPr>
        <w:pStyle w:val="14"/>
        <w:ind w:firstLine="560"/>
        <w:rPr>
          <w:rFonts w:hint="default" w:hAnsi="宋体" w:eastAsia="宋体"/>
          <w:kern w:val="2"/>
          <w:sz w:val="28"/>
          <w:szCs w:val="28"/>
          <w:lang w:val="en-US" w:eastAsia="zh-CN"/>
        </w:rPr>
      </w:pPr>
      <w:r>
        <w:rPr>
          <w:rFonts w:hint="eastAsia" w:hAnsi="宋体" w:eastAsia="宋体"/>
          <w:kern w:val="2"/>
          <w:sz w:val="28"/>
          <w:szCs w:val="28"/>
        </w:rPr>
        <w:t>说明：本标准同时适用于个人和企业消费者</w:t>
      </w:r>
      <w:r>
        <w:rPr>
          <w:rFonts w:hint="eastAsia" w:hAnsi="宋体" w:eastAsia="宋体"/>
          <w:kern w:val="2"/>
          <w:sz w:val="28"/>
          <w:szCs w:val="28"/>
          <w:lang w:val="en-US" w:eastAsia="zh-CN"/>
        </w:rPr>
        <w:t>产生</w:t>
      </w:r>
      <w:r>
        <w:rPr>
          <w:rFonts w:hint="eastAsia" w:hAnsi="宋体" w:eastAsia="宋体"/>
          <w:kern w:val="2"/>
          <w:sz w:val="28"/>
          <w:szCs w:val="28"/>
        </w:rPr>
        <w:t>的电子商务逆向物流</w:t>
      </w:r>
      <w:r>
        <w:rPr>
          <w:rFonts w:hint="eastAsia" w:hAnsi="宋体" w:eastAsia="宋体"/>
          <w:kern w:val="2"/>
          <w:sz w:val="28"/>
          <w:szCs w:val="28"/>
          <w:lang w:eastAsia="zh-CN"/>
        </w:rPr>
        <w:t>，</w:t>
      </w:r>
      <w:r>
        <w:rPr>
          <w:rFonts w:hint="eastAsia" w:hAnsi="宋体" w:eastAsia="宋体"/>
          <w:kern w:val="2"/>
          <w:sz w:val="28"/>
          <w:szCs w:val="28"/>
          <w:lang w:val="en-US" w:eastAsia="zh-CN"/>
        </w:rPr>
        <w:t>因此适用于B2C和B2B电子商务模式。</w:t>
      </w:r>
    </w:p>
    <w:p>
      <w:pPr>
        <w:spacing w:line="360" w:lineRule="auto"/>
        <w:ind w:firstLine="560" w:firstLineChars="200"/>
        <w:rPr>
          <w:rFonts w:ascii="宋体" w:hAnsi="宋体" w:eastAsia="宋体"/>
          <w:sz w:val="28"/>
          <w:szCs w:val="28"/>
        </w:rPr>
      </w:pPr>
      <w:r>
        <w:rPr>
          <w:rFonts w:ascii="宋体" w:hAnsi="宋体" w:eastAsia="宋体"/>
          <w:sz w:val="28"/>
          <w:szCs w:val="28"/>
        </w:rPr>
        <w:t>2规范性引用文件</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276" w:lineRule="auto"/>
        <w:ind w:firstLine="560" w:firstLineChars="200"/>
        <w:rPr>
          <w:rFonts w:ascii="宋体" w:hAnsi="宋体" w:eastAsia="宋体"/>
          <w:sz w:val="28"/>
          <w:szCs w:val="28"/>
        </w:rPr>
      </w:pPr>
      <w:r>
        <w:rPr>
          <w:rFonts w:hint="eastAsia" w:ascii="宋体" w:hAnsi="宋体" w:eastAsia="宋体"/>
          <w:sz w:val="28"/>
          <w:szCs w:val="28"/>
        </w:rPr>
        <w:t>说明：具体引用情况见标准正文。</w:t>
      </w:r>
    </w:p>
    <w:p>
      <w:pPr>
        <w:spacing w:line="360" w:lineRule="auto"/>
        <w:ind w:firstLine="560" w:firstLineChars="200"/>
        <w:rPr>
          <w:rFonts w:ascii="宋体" w:hAnsi="宋体" w:eastAsia="宋体"/>
          <w:sz w:val="28"/>
          <w:szCs w:val="28"/>
        </w:rPr>
      </w:pPr>
      <w:r>
        <w:rPr>
          <w:rFonts w:ascii="宋体" w:hAnsi="宋体" w:eastAsia="宋体"/>
          <w:sz w:val="28"/>
          <w:szCs w:val="28"/>
        </w:rPr>
        <w:t>3术语和定义</w:t>
      </w:r>
    </w:p>
    <w:p>
      <w:pPr>
        <w:pStyle w:val="15"/>
        <w:ind w:firstLine="560"/>
        <w:rPr>
          <w:rFonts w:hAnsi="宋体" w:cstheme="minorBidi"/>
          <w:kern w:val="2"/>
          <w:sz w:val="28"/>
          <w:szCs w:val="28"/>
        </w:rPr>
      </w:pPr>
      <w:r>
        <w:rPr>
          <w:rFonts w:hint="eastAsia" w:hAnsi="宋体" w:cstheme="minorBidi"/>
          <w:kern w:val="2"/>
          <w:sz w:val="28"/>
          <w:szCs w:val="28"/>
        </w:rPr>
        <w:t>（</w:t>
      </w:r>
      <w:r>
        <w:rPr>
          <w:rFonts w:hAnsi="宋体" w:cstheme="minorBidi"/>
          <w:kern w:val="2"/>
          <w:sz w:val="28"/>
          <w:szCs w:val="28"/>
        </w:rPr>
        <w:t>1</w:t>
      </w:r>
      <w:r>
        <w:rPr>
          <w:rFonts w:hint="eastAsia" w:hAnsi="宋体" w:cstheme="minorBidi"/>
          <w:kern w:val="2"/>
          <w:sz w:val="28"/>
          <w:szCs w:val="28"/>
        </w:rPr>
        <w:t>）逆向物流 reverse logistics 。反向物流，为恢复物品价值、循环利用或合理处置，对原材料、零部件、在制品及产成品从供应链下游节点向上游节点反向流动，或按特定的渠道或方式归集到指定地点所进行的物流活动。</w:t>
      </w:r>
    </w:p>
    <w:p>
      <w:pPr>
        <w:pStyle w:val="15"/>
        <w:ind w:firstLine="560"/>
        <w:rPr>
          <w:rFonts w:hAnsi="宋体" w:cstheme="minorBidi"/>
          <w:kern w:val="2"/>
          <w:sz w:val="28"/>
          <w:szCs w:val="28"/>
        </w:rPr>
      </w:pPr>
      <w:r>
        <w:rPr>
          <w:rFonts w:hint="eastAsia" w:hAnsi="宋体" w:cstheme="minorBidi"/>
          <w:kern w:val="2"/>
          <w:sz w:val="28"/>
          <w:szCs w:val="28"/>
        </w:rPr>
        <w:t>说明：逆向物流作为本文件的理论概念，为了便于理解和实施本文件，本文件再次说明了逆向物流的定义，来源为GB/T 18354</w:t>
      </w:r>
      <w:r>
        <w:rPr>
          <w:rFonts w:hAnsi="宋体" w:cstheme="minorBidi"/>
          <w:kern w:val="2"/>
          <w:sz w:val="28"/>
          <w:szCs w:val="28"/>
        </w:rPr>
        <w:t>-2021</w:t>
      </w:r>
      <w:r>
        <w:rPr>
          <w:rFonts w:hint="eastAsia" w:hAnsi="宋体" w:cstheme="minorBidi"/>
          <w:kern w:val="2"/>
          <w:sz w:val="28"/>
          <w:szCs w:val="28"/>
        </w:rPr>
        <w:t>《物流术语》的</w:t>
      </w:r>
      <w:r>
        <w:rPr>
          <w:rFonts w:hAnsi="宋体" w:cstheme="minorBidi"/>
          <w:kern w:val="2"/>
          <w:sz w:val="28"/>
          <w:szCs w:val="28"/>
        </w:rPr>
        <w:t>3.35</w:t>
      </w:r>
      <w:r>
        <w:rPr>
          <w:rFonts w:hint="eastAsia" w:hAnsi="宋体" w:cstheme="minorBidi"/>
          <w:kern w:val="2"/>
          <w:sz w:val="28"/>
          <w:szCs w:val="28"/>
        </w:rPr>
        <w:t>。</w:t>
      </w:r>
    </w:p>
    <w:p>
      <w:pPr>
        <w:spacing w:line="360" w:lineRule="auto"/>
        <w:ind w:firstLine="560" w:firstLineChars="200"/>
        <w:rPr>
          <w:rFonts w:ascii="宋体" w:hAnsi="宋体" w:eastAsia="宋体"/>
          <w:sz w:val="28"/>
          <w:szCs w:val="28"/>
        </w:rPr>
      </w:pPr>
      <w:r>
        <w:rPr>
          <w:rFonts w:hint="eastAsia" w:ascii="宋体" w:hAnsi="宋体" w:eastAsia="宋体"/>
          <w:sz w:val="28"/>
          <w:szCs w:val="28"/>
        </w:rPr>
        <w:t>（2）电子商务逆向物流 e-commerce reverse logistics。在电子商务活动（过程）中，货品因退货、换货、维修等原因形成的逆向物流。</w:t>
      </w:r>
    </w:p>
    <w:p>
      <w:pPr>
        <w:spacing w:line="360" w:lineRule="auto"/>
        <w:ind w:firstLine="560" w:firstLineChars="200"/>
        <w:rPr>
          <w:rFonts w:ascii="宋体" w:hAnsi="宋体" w:eastAsia="宋体"/>
          <w:sz w:val="28"/>
          <w:szCs w:val="28"/>
        </w:rPr>
      </w:pPr>
      <w:r>
        <w:rPr>
          <w:rFonts w:hint="eastAsia" w:ascii="宋体" w:hAnsi="宋体" w:eastAsia="宋体"/>
          <w:sz w:val="28"/>
          <w:szCs w:val="28"/>
        </w:rPr>
        <w:t xml:space="preserve">说明：电子商务逆向物流是本文件的核心术语，基于条款3.1逆向物流的定义、结合电子商务应用环境和目前电子商务逆向物流产生的主要原因做此定义。 </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（3）电子商务返货</w:t>
      </w:r>
      <w:bookmarkStart w:id="2" w:name="_GoBack"/>
      <w:bookmarkEnd w:id="2"/>
      <w:r>
        <w:rPr>
          <w:rFonts w:hint="eastAsia" w:ascii="宋体" w:hAnsi="宋体" w:eastAsia="宋体"/>
          <w:sz w:val="28"/>
          <w:szCs w:val="28"/>
        </w:rPr>
        <w:t xml:space="preserve"> e-commerce return goods。在电子商务活动（过程）中，因退货、换货、维修等原因，从供应链下游向上游节点反向流动的货品，简称“返货”。</w:t>
      </w:r>
    </w:p>
    <w:p>
      <w:pPr>
        <w:spacing w:line="360" w:lineRule="auto"/>
        <w:ind w:firstLine="560" w:firstLineChars="200"/>
        <w:rPr>
          <w:rFonts w:ascii="宋体" w:hAnsi="宋体" w:eastAsia="宋体"/>
          <w:sz w:val="28"/>
          <w:szCs w:val="28"/>
        </w:rPr>
      </w:pPr>
      <w:r>
        <w:rPr>
          <w:rFonts w:hint="eastAsia" w:ascii="宋体" w:hAnsi="宋体" w:eastAsia="宋体"/>
          <w:sz w:val="28"/>
          <w:szCs w:val="28"/>
        </w:rPr>
        <w:t>说明：为了体现本标准涉及商品的“逆向”特征，同时将其于退货换货中的“退货”区分，将进入逆向物流流程的产品称为“返货”，即“返货”中不只包括电子商务退货的商品，还包括换货、维修的商品。因此根据电子商务逆向物流的定义给出该定义。</w:t>
      </w:r>
    </w:p>
    <w:p>
      <w:pPr>
        <w:pStyle w:val="15"/>
        <w:ind w:firstLine="560"/>
        <w:rPr>
          <w:rFonts w:hAnsi="宋体" w:cstheme="minorBidi"/>
          <w:kern w:val="2"/>
          <w:sz w:val="28"/>
          <w:szCs w:val="28"/>
        </w:rPr>
      </w:pPr>
      <w:r>
        <w:rPr>
          <w:rFonts w:hint="eastAsia" w:hAnsi="宋体" w:cstheme="minorBidi"/>
          <w:kern w:val="2"/>
          <w:sz w:val="28"/>
          <w:szCs w:val="28"/>
        </w:rPr>
        <w:t>4 基本要求</w:t>
      </w:r>
    </w:p>
    <w:p>
      <w:pPr>
        <w:pStyle w:val="15"/>
        <w:ind w:firstLine="560"/>
        <w:rPr>
          <w:rFonts w:hint="default" w:hAnsi="宋体" w:eastAsia="宋体" w:cstheme="minorBidi"/>
          <w:color w:val="0000FF"/>
          <w:kern w:val="2"/>
          <w:sz w:val="28"/>
          <w:szCs w:val="28"/>
          <w:lang w:val="en-US" w:eastAsia="zh-CN"/>
        </w:rPr>
      </w:pPr>
      <w:r>
        <w:rPr>
          <w:rFonts w:hint="eastAsia" w:hAnsi="宋体" w:cstheme="minorBidi"/>
          <w:kern w:val="2"/>
          <w:sz w:val="28"/>
          <w:szCs w:val="28"/>
        </w:rPr>
        <w:t>说明：本章对于从事电子商务逆向物流服务的企业提出了基本要求，参考GB/T 15624-2011《服务标准化工作指南》，包括</w:t>
      </w:r>
      <w:r>
        <w:rPr>
          <w:rFonts w:hint="eastAsia" w:hAnsi="宋体" w:cstheme="minorBidi"/>
          <w:kern w:val="2"/>
          <w:sz w:val="28"/>
          <w:szCs w:val="28"/>
          <w:lang w:val="en-US" w:eastAsia="zh-CN"/>
        </w:rPr>
        <w:t>应具备的制度、人员、设施设备和信息系统。</w:t>
      </w:r>
      <w:r>
        <w:rPr>
          <w:rFonts w:hint="eastAsia" w:hAnsi="宋体" w:cstheme="minorBidi"/>
          <w:kern w:val="2"/>
          <w:sz w:val="28"/>
          <w:szCs w:val="28"/>
        </w:rPr>
        <w:t>设施设备要求主要参照GB/T 36311-2018《电子商务管理体系》6.1.5基础设施和环境、GB/T 39660-2020《物流设施设备的选用参数要求》4总体要求的相关内容。</w:t>
      </w:r>
      <w:r>
        <w:rPr>
          <w:rFonts w:hint="eastAsia" w:hAnsi="宋体" w:cstheme="minorBidi"/>
          <w:kern w:val="2"/>
          <w:sz w:val="28"/>
          <w:szCs w:val="28"/>
          <w:lang w:val="en-US" w:eastAsia="zh-CN"/>
        </w:rPr>
        <w:t>信息系统要求参考GB/T 39439-2020《电子商务第三方仓储服务管理规范》5.4信息管理要求、GB/T 41834-2022《智慧物流服务指南》5.6系统</w:t>
      </w:r>
      <w:r>
        <w:rPr>
          <w:rFonts w:hint="eastAsia" w:hAnsi="宋体" w:cstheme="minorBidi"/>
          <w:kern w:val="2"/>
          <w:sz w:val="28"/>
          <w:szCs w:val="28"/>
        </w:rPr>
        <w:t>的相关内容</w:t>
      </w:r>
      <w:r>
        <w:rPr>
          <w:rFonts w:hint="eastAsia" w:hAnsi="宋体" w:cstheme="minorBidi"/>
          <w:kern w:val="2"/>
          <w:sz w:val="28"/>
          <w:szCs w:val="28"/>
          <w:lang w:val="en-US" w:eastAsia="zh-CN"/>
        </w:rPr>
        <w:t>。</w:t>
      </w:r>
    </w:p>
    <w:p>
      <w:pPr>
        <w:pStyle w:val="15"/>
        <w:ind w:firstLine="560"/>
        <w:rPr>
          <w:rFonts w:hint="eastAsia" w:hAnsi="宋体" w:cstheme="minorBidi"/>
          <w:kern w:val="2"/>
          <w:sz w:val="28"/>
          <w:szCs w:val="28"/>
          <w:lang w:val="en-US" w:eastAsia="zh-CN"/>
        </w:rPr>
      </w:pPr>
      <w:r>
        <w:rPr>
          <w:rFonts w:hint="eastAsia" w:hAnsi="宋体" w:cstheme="minorBidi"/>
          <w:kern w:val="2"/>
          <w:sz w:val="28"/>
          <w:szCs w:val="28"/>
          <w:lang w:val="en-US" w:eastAsia="zh-CN"/>
        </w:rPr>
        <w:t>5</w:t>
      </w:r>
      <w:r>
        <w:rPr>
          <w:rFonts w:hint="eastAsia" w:hAnsi="宋体" w:cstheme="minorBidi"/>
          <w:kern w:val="2"/>
          <w:sz w:val="28"/>
          <w:szCs w:val="28"/>
        </w:rPr>
        <w:t xml:space="preserve"> </w:t>
      </w:r>
      <w:r>
        <w:rPr>
          <w:rFonts w:hint="eastAsia" w:hAnsi="宋体" w:cstheme="minorBidi"/>
          <w:kern w:val="2"/>
          <w:sz w:val="28"/>
          <w:szCs w:val="28"/>
          <w:lang w:val="en-US" w:eastAsia="zh-CN"/>
        </w:rPr>
        <w:t>服务方案设计</w:t>
      </w:r>
    </w:p>
    <w:p>
      <w:pPr>
        <w:pStyle w:val="15"/>
        <w:ind w:firstLine="560"/>
        <w:rPr>
          <w:rFonts w:hint="default" w:hAnsi="宋体" w:eastAsia="宋体" w:cstheme="minorBidi"/>
          <w:kern w:val="2"/>
          <w:sz w:val="28"/>
          <w:szCs w:val="28"/>
          <w:lang w:val="en-US" w:eastAsia="zh-CN"/>
        </w:rPr>
      </w:pPr>
      <w:r>
        <w:rPr>
          <w:rFonts w:hint="eastAsia" w:hAnsi="宋体" w:cstheme="minorBidi"/>
          <w:kern w:val="2"/>
          <w:sz w:val="28"/>
          <w:szCs w:val="28"/>
          <w:lang w:val="en-US" w:eastAsia="zh-CN"/>
        </w:rPr>
        <w:t>说明：</w:t>
      </w:r>
      <w:r>
        <w:rPr>
          <w:rFonts w:hint="eastAsia" w:hAnsi="宋体" w:cstheme="minorBidi"/>
          <w:kern w:val="2"/>
          <w:sz w:val="28"/>
          <w:szCs w:val="28"/>
        </w:rPr>
        <w:t>本章</w:t>
      </w:r>
      <w:r>
        <w:rPr>
          <w:rFonts w:hint="eastAsia" w:hAnsi="宋体" w:cstheme="minorBidi"/>
          <w:kern w:val="2"/>
          <w:sz w:val="28"/>
          <w:szCs w:val="28"/>
          <w:lang w:val="en-US" w:eastAsia="zh-CN"/>
        </w:rPr>
        <w:t>提出了电子商务逆向物流服务方应为客户设计服务方案。客户包括可包括电子商务平台、电子商务销售商、品牌商等，一般不包括消费者，但消费者（包括个人消费者和企业消费者）和非逆向物流服务客户的相关方也为电子商务逆向物流服务的对象。逆向物流网络规划、服务运营方案、支持逆向物流的信息系统解决方案、返货追溯管理方案、逆向物流服务评价与改进方案等。</w:t>
      </w:r>
    </w:p>
    <w:p>
      <w:pPr>
        <w:pStyle w:val="15"/>
        <w:ind w:firstLine="560"/>
        <w:rPr>
          <w:rFonts w:hint="default" w:hAnsi="宋体" w:cstheme="minorBidi"/>
          <w:kern w:val="2"/>
          <w:sz w:val="28"/>
          <w:szCs w:val="28"/>
          <w:lang w:val="en-US"/>
        </w:rPr>
      </w:pPr>
      <w:r>
        <w:rPr>
          <w:rFonts w:hint="eastAsia" w:hAnsi="宋体" w:cstheme="minorBidi"/>
          <w:kern w:val="2"/>
          <w:sz w:val="28"/>
          <w:szCs w:val="28"/>
          <w:lang w:val="en-US" w:eastAsia="zh-CN"/>
        </w:rPr>
        <w:t xml:space="preserve">6 </w:t>
      </w:r>
      <w:r>
        <w:rPr>
          <w:rFonts w:hint="eastAsia" w:hAnsi="宋体" w:cstheme="minorBidi"/>
          <w:kern w:val="2"/>
          <w:sz w:val="28"/>
          <w:szCs w:val="28"/>
        </w:rPr>
        <w:t>服务</w:t>
      </w:r>
      <w:r>
        <w:rPr>
          <w:rFonts w:hint="eastAsia" w:hAnsi="宋体" w:cstheme="minorBidi"/>
          <w:kern w:val="2"/>
          <w:sz w:val="28"/>
          <w:szCs w:val="28"/>
          <w:lang w:val="en-US" w:eastAsia="zh-CN"/>
        </w:rPr>
        <w:t>内容及要求</w:t>
      </w:r>
    </w:p>
    <w:p>
      <w:pPr>
        <w:pStyle w:val="14"/>
        <w:ind w:firstLine="560"/>
        <w:rPr>
          <w:rFonts w:hAnsi="宋体"/>
          <w:kern w:val="2"/>
          <w:sz w:val="28"/>
          <w:szCs w:val="28"/>
        </w:rPr>
      </w:pPr>
      <w:r>
        <w:rPr>
          <w:rFonts w:hint="eastAsia" w:hAnsi="宋体"/>
          <w:kern w:val="2"/>
          <w:sz w:val="28"/>
          <w:szCs w:val="28"/>
        </w:rPr>
        <w:t>说明：为稳定整个电子商务逆向物流的</w:t>
      </w:r>
      <w:r>
        <w:rPr>
          <w:rFonts w:hint="eastAsia" w:hAnsi="宋体"/>
          <w:kern w:val="2"/>
          <w:sz w:val="28"/>
          <w:szCs w:val="28"/>
          <w:lang w:val="en-US" w:eastAsia="zh-CN"/>
        </w:rPr>
        <w:t>作业</w:t>
      </w:r>
      <w:r>
        <w:rPr>
          <w:rFonts w:hint="eastAsia" w:hAnsi="宋体"/>
          <w:kern w:val="2"/>
          <w:sz w:val="28"/>
          <w:szCs w:val="28"/>
        </w:rPr>
        <w:t>过程，保障消费者权益，提出</w:t>
      </w:r>
      <w:r>
        <w:rPr>
          <w:rFonts w:hint="eastAsia" w:hAnsi="宋体"/>
          <w:kern w:val="2"/>
          <w:sz w:val="28"/>
          <w:szCs w:val="28"/>
          <w:lang w:val="en-US" w:eastAsia="zh-CN"/>
        </w:rPr>
        <w:t>服务作业内容</w:t>
      </w:r>
      <w:r>
        <w:rPr>
          <w:rFonts w:hint="eastAsia" w:hAnsi="宋体"/>
          <w:kern w:val="2"/>
          <w:sz w:val="28"/>
          <w:szCs w:val="28"/>
        </w:rPr>
        <w:t>并规定每一</w:t>
      </w:r>
      <w:r>
        <w:rPr>
          <w:rFonts w:hint="eastAsia" w:hAnsi="宋体"/>
          <w:kern w:val="2"/>
          <w:sz w:val="28"/>
          <w:szCs w:val="28"/>
          <w:lang w:val="en-US" w:eastAsia="zh-CN"/>
        </w:rPr>
        <w:t>环节服务内容</w:t>
      </w:r>
      <w:r>
        <w:rPr>
          <w:rFonts w:hint="eastAsia" w:hAnsi="宋体"/>
          <w:kern w:val="2"/>
          <w:sz w:val="28"/>
          <w:szCs w:val="28"/>
        </w:rPr>
        <w:t>的要求。本章主要包括</w:t>
      </w:r>
      <w:r>
        <w:rPr>
          <w:rFonts w:hint="eastAsia" w:hAnsi="宋体"/>
          <w:kern w:val="2"/>
          <w:sz w:val="28"/>
          <w:szCs w:val="28"/>
          <w:lang w:val="en-US" w:eastAsia="zh-CN"/>
        </w:rPr>
        <w:t>服务的内容</w:t>
      </w:r>
      <w:r>
        <w:rPr>
          <w:rFonts w:hint="eastAsia" w:hAnsi="宋体"/>
          <w:kern w:val="2"/>
          <w:sz w:val="28"/>
          <w:szCs w:val="28"/>
        </w:rPr>
        <w:t>（</w:t>
      </w:r>
      <w:r>
        <w:rPr>
          <w:rFonts w:hint="eastAsia" w:hAnsi="宋体"/>
          <w:kern w:val="2"/>
          <w:sz w:val="28"/>
          <w:szCs w:val="28"/>
          <w:lang w:val="en-US" w:eastAsia="zh-CN"/>
        </w:rPr>
        <w:t>总述流程并说明</w:t>
      </w:r>
      <w:r>
        <w:rPr>
          <w:rFonts w:hint="eastAsia" w:hAnsi="宋体"/>
          <w:kern w:val="2"/>
          <w:sz w:val="28"/>
          <w:szCs w:val="28"/>
        </w:rPr>
        <w:t>对企业消费者的电子商务逆向物流情况）、受理、取货、运输、入库、储存、出库</w:t>
      </w:r>
      <w:r>
        <w:rPr>
          <w:rFonts w:hint="eastAsia" w:hAnsi="宋体"/>
          <w:kern w:val="2"/>
          <w:sz w:val="28"/>
          <w:szCs w:val="28"/>
          <w:lang w:eastAsia="zh-CN"/>
        </w:rPr>
        <w:t>。</w:t>
      </w:r>
    </w:p>
    <w:p>
      <w:pPr>
        <w:pStyle w:val="14"/>
        <w:ind w:firstLine="560"/>
        <w:rPr>
          <w:rFonts w:hAnsi="宋体"/>
          <w:kern w:val="2"/>
          <w:sz w:val="28"/>
          <w:szCs w:val="28"/>
        </w:rPr>
      </w:pPr>
      <w:r>
        <w:rPr>
          <w:rFonts w:hint="eastAsia" w:hAnsi="宋体"/>
          <w:kern w:val="2"/>
          <w:sz w:val="28"/>
          <w:szCs w:val="28"/>
        </w:rPr>
        <w:t>首先，经过对</w:t>
      </w:r>
      <w:r>
        <w:rPr>
          <w:rFonts w:hint="eastAsia" w:hAnsi="宋体" w:cs="宋体"/>
          <w:sz w:val="28"/>
          <w:szCs w:val="28"/>
        </w:rPr>
        <w:t>北京京邦达贸易有限公司（京东物流）</w:t>
      </w:r>
      <w:r>
        <w:rPr>
          <w:rFonts w:hint="eastAsia" w:hAnsi="宋体"/>
          <w:kern w:val="2"/>
          <w:sz w:val="28"/>
          <w:szCs w:val="28"/>
        </w:rPr>
        <w:t>的实地调研、走访，并结合对顺丰、宝尊等涉及电子商务逆向物流服务的访谈，</w:t>
      </w:r>
      <w:r>
        <w:rPr>
          <w:rFonts w:hint="eastAsia" w:hAnsi="宋体"/>
          <w:kern w:val="2"/>
          <w:sz w:val="28"/>
          <w:szCs w:val="28"/>
          <w:lang w:val="en-US" w:eastAsia="zh-CN"/>
        </w:rPr>
        <w:t>梳理出通用流程，流程起点为物流服务商受理返货需求，终点为从物流服务商的仓库出库。服务内容包括</w:t>
      </w:r>
      <w:r>
        <w:rPr>
          <w:rFonts w:hint="eastAsia" w:hAnsi="宋体"/>
          <w:kern w:val="2"/>
          <w:sz w:val="28"/>
          <w:szCs w:val="28"/>
        </w:rPr>
        <w:t>受理、取货、运输、入库、储存、出库</w:t>
      </w:r>
      <w:r>
        <w:rPr>
          <w:rFonts w:hint="eastAsia" w:hAnsi="宋体"/>
          <w:kern w:val="2"/>
          <w:sz w:val="28"/>
          <w:szCs w:val="28"/>
          <w:lang w:eastAsia="zh-CN"/>
        </w:rPr>
        <w:t>，</w:t>
      </w:r>
      <w:r>
        <w:rPr>
          <w:rFonts w:hint="eastAsia" w:hAnsi="宋体"/>
          <w:kern w:val="2"/>
          <w:sz w:val="28"/>
          <w:szCs w:val="28"/>
        </w:rPr>
        <w:t>其中储存</w:t>
      </w:r>
      <w:r>
        <w:rPr>
          <w:rFonts w:hint="eastAsia" w:hAnsi="宋体"/>
          <w:kern w:val="2"/>
          <w:sz w:val="28"/>
          <w:szCs w:val="28"/>
          <w:lang w:val="en-US" w:eastAsia="zh-CN"/>
        </w:rPr>
        <w:t>分为</w:t>
      </w:r>
      <w:r>
        <w:rPr>
          <w:rFonts w:hint="eastAsia" w:hAnsi="宋体"/>
          <w:kern w:val="2"/>
          <w:sz w:val="28"/>
          <w:szCs w:val="28"/>
        </w:rPr>
        <w:t>分拣、拆包、检测、上架</w:t>
      </w:r>
      <w:r>
        <w:rPr>
          <w:rFonts w:hint="eastAsia" w:hAnsi="宋体"/>
          <w:kern w:val="2"/>
          <w:sz w:val="28"/>
          <w:szCs w:val="28"/>
          <w:lang w:eastAsia="zh-CN"/>
        </w:rPr>
        <w:t>，</w:t>
      </w:r>
      <w:r>
        <w:rPr>
          <w:rFonts w:hint="eastAsia" w:hAnsi="宋体"/>
          <w:kern w:val="2"/>
          <w:sz w:val="28"/>
          <w:szCs w:val="28"/>
          <w:lang w:val="en-US" w:eastAsia="zh-CN"/>
        </w:rPr>
        <w:t>该流程有助于提高对类别分散、存储单元小的返货的处理流程。服务内容中各环节非必须，根据客户要求的不同有所不同，条款中写明了有客户委托才进行的环节</w:t>
      </w:r>
      <w:r>
        <w:rPr>
          <w:rFonts w:hint="eastAsia" w:hAnsi="宋体"/>
          <w:kern w:val="2"/>
          <w:sz w:val="28"/>
          <w:szCs w:val="28"/>
        </w:rPr>
        <w:t>。</w:t>
      </w:r>
    </w:p>
    <w:p>
      <w:pPr>
        <w:pStyle w:val="14"/>
        <w:ind w:firstLine="560"/>
        <w:rPr>
          <w:rFonts w:hint="eastAsia" w:hAnsi="宋体"/>
          <w:kern w:val="2"/>
          <w:sz w:val="28"/>
          <w:szCs w:val="28"/>
        </w:rPr>
      </w:pPr>
      <w:r>
        <w:rPr>
          <w:rFonts w:hint="eastAsia" w:hAnsi="宋体"/>
          <w:kern w:val="2"/>
          <w:sz w:val="28"/>
          <w:szCs w:val="28"/>
        </w:rPr>
        <w:t>其次，对于各</w:t>
      </w:r>
      <w:r>
        <w:rPr>
          <w:rFonts w:hint="eastAsia" w:hAnsi="宋体"/>
          <w:kern w:val="2"/>
          <w:sz w:val="28"/>
          <w:szCs w:val="28"/>
          <w:lang w:val="en-US" w:eastAsia="zh-CN"/>
        </w:rPr>
        <w:t>环节服务内容</w:t>
      </w:r>
      <w:r>
        <w:rPr>
          <w:rFonts w:hint="eastAsia" w:hAnsi="宋体"/>
          <w:kern w:val="2"/>
          <w:sz w:val="28"/>
          <w:szCs w:val="28"/>
        </w:rPr>
        <w:t>的要求，主要通过对物流服务商（如</w:t>
      </w:r>
      <w:r>
        <w:rPr>
          <w:rFonts w:hint="eastAsia" w:hAnsi="宋体" w:cs="宋体"/>
          <w:sz w:val="28"/>
          <w:szCs w:val="28"/>
        </w:rPr>
        <w:t>京东物流）、电商运营（如宝尊）、</w:t>
      </w:r>
      <w:r>
        <w:rPr>
          <w:rFonts w:hint="eastAsia" w:hAnsi="宋体"/>
          <w:kern w:val="2"/>
          <w:sz w:val="28"/>
          <w:szCs w:val="28"/>
        </w:rPr>
        <w:t>电子商务平台（如伊邦科技）、行业协会（如浦东新区电子商务行业协会）</w:t>
      </w:r>
      <w:r>
        <w:rPr>
          <w:rFonts w:hint="eastAsia" w:hAnsi="宋体" w:cs="宋体"/>
          <w:sz w:val="28"/>
          <w:szCs w:val="28"/>
        </w:rPr>
        <w:t>的</w:t>
      </w:r>
      <w:r>
        <w:rPr>
          <w:rFonts w:hint="eastAsia" w:hAnsi="宋体"/>
          <w:kern w:val="2"/>
          <w:sz w:val="28"/>
          <w:szCs w:val="28"/>
        </w:rPr>
        <w:t>调研</w:t>
      </w:r>
      <w:r>
        <w:rPr>
          <w:rFonts w:hint="eastAsia" w:hAnsi="宋体"/>
          <w:kern w:val="2"/>
          <w:sz w:val="28"/>
          <w:szCs w:val="28"/>
          <w:lang w:eastAsia="zh-CN"/>
        </w:rPr>
        <w:t>（</w:t>
      </w:r>
      <w:r>
        <w:rPr>
          <w:rFonts w:hint="eastAsia" w:hAnsi="宋体"/>
          <w:kern w:val="2"/>
          <w:sz w:val="28"/>
          <w:szCs w:val="28"/>
          <w:lang w:val="en-US" w:eastAsia="zh-CN"/>
        </w:rPr>
        <w:t>调研情况见表2）</w:t>
      </w:r>
      <w:r>
        <w:rPr>
          <w:rFonts w:hint="eastAsia" w:hAnsi="宋体"/>
          <w:kern w:val="2"/>
          <w:sz w:val="28"/>
          <w:szCs w:val="28"/>
        </w:rPr>
        <w:t>。</w:t>
      </w:r>
    </w:p>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heme="minorEastAsia" w:hAnsiTheme="minorEastAsia" w:eastAsiaTheme="minorEastAsia"/>
          <w:sz w:val="22"/>
          <w:lang w:val="en-US" w:eastAsia="zh-CN"/>
        </w:rPr>
      </w:pPr>
      <w:r>
        <w:rPr>
          <w:rFonts w:hint="eastAsia" w:asciiTheme="minorEastAsia" w:hAnsiTheme="minorEastAsia"/>
          <w:sz w:val="22"/>
        </w:rPr>
        <w:t>表</w:t>
      </w:r>
      <w:r>
        <w:rPr>
          <w:rFonts w:hint="eastAsia" w:asciiTheme="minorEastAsia" w:hAnsiTheme="minorEastAsia"/>
          <w:sz w:val="22"/>
          <w:lang w:val="en-US" w:eastAsia="zh-CN"/>
        </w:rPr>
        <w:t>2</w:t>
      </w:r>
      <w:r>
        <w:rPr>
          <w:rFonts w:hint="eastAsia" w:asciiTheme="minorEastAsia" w:hAnsiTheme="minorEastAsia"/>
          <w:sz w:val="22"/>
        </w:rPr>
        <w:t xml:space="preserve"> </w:t>
      </w:r>
      <w:r>
        <w:rPr>
          <w:rFonts w:hint="eastAsia" w:asciiTheme="minorEastAsia" w:hAnsiTheme="minorEastAsia"/>
          <w:sz w:val="22"/>
          <w:lang w:val="en-US" w:eastAsia="zh-CN"/>
        </w:rPr>
        <w:t>调研情况</w:t>
      </w:r>
    </w:p>
    <w:tbl>
      <w:tblPr>
        <w:tblStyle w:val="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Layout w:type="autofit"/>
        <w:tblCellMar>
          <w:top w:w="0" w:type="dxa"/>
          <w:left w:w="108" w:type="dxa"/>
          <w:bottom w:w="0" w:type="dxa"/>
          <w:right w:w="108" w:type="dxa"/>
        </w:tblCellMar>
      </w:tblPr>
      <w:tblGrid>
        <w:gridCol w:w="1418"/>
        <w:gridCol w:w="1418"/>
        <w:gridCol w:w="1419"/>
        <w:gridCol w:w="1419"/>
        <w:gridCol w:w="1419"/>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jc w:val="center"/>
        </w:trPr>
        <w:tc>
          <w:tcPr>
            <w:tcW w:w="832" w:type="pct"/>
            <w:shd w:val="clear" w:color="000000" w:fill="auto"/>
            <w:vAlign w:val="center"/>
          </w:tcPr>
          <w:p>
            <w:pPr>
              <w:widowControl/>
              <w:adjustRightInd w:val="0"/>
              <w:snapToGrid w:val="0"/>
              <w:jc w:val="center"/>
              <w:rPr>
                <w:rFonts w:hint="default" w:asciiTheme="minorEastAsia" w:hAnsiTheme="minorEastAsia"/>
                <w:sz w:val="18"/>
                <w:szCs w:val="18"/>
                <w:lang w:val="en-US" w:eastAsia="zh-CN"/>
              </w:rPr>
            </w:pPr>
            <w:r>
              <w:rPr>
                <w:rFonts w:hint="eastAsia" w:asciiTheme="minorEastAsia" w:hAnsiTheme="minorEastAsia"/>
                <w:sz w:val="18"/>
                <w:szCs w:val="18"/>
                <w:lang w:val="en-US" w:eastAsia="zh-CN"/>
              </w:rPr>
              <w:t>企业类型</w:t>
            </w:r>
          </w:p>
        </w:tc>
        <w:tc>
          <w:tcPr>
            <w:tcW w:w="832" w:type="pct"/>
            <w:shd w:val="clear" w:color="000000" w:fill="auto"/>
            <w:vAlign w:val="center"/>
          </w:tcPr>
          <w:p>
            <w:pPr>
              <w:widowControl/>
              <w:adjustRightInd w:val="0"/>
              <w:snapToGrid w:val="0"/>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调研企业</w:t>
            </w:r>
          </w:p>
        </w:tc>
        <w:tc>
          <w:tcPr>
            <w:tcW w:w="832" w:type="pct"/>
            <w:shd w:val="clear" w:color="000000" w:fill="auto"/>
            <w:vAlign w:val="center"/>
          </w:tcPr>
          <w:p>
            <w:pPr>
              <w:widowControl/>
              <w:adjustRightInd w:val="0"/>
              <w:snapToGrid w:val="0"/>
              <w:jc w:val="center"/>
              <w:rPr>
                <w:rFonts w:hint="default" w:asciiTheme="minorEastAsia" w:hAnsiTheme="minorEastAsia"/>
                <w:sz w:val="18"/>
                <w:szCs w:val="18"/>
                <w:lang w:val="en-US" w:eastAsia="zh-CN"/>
              </w:rPr>
            </w:pPr>
            <w:r>
              <w:rPr>
                <w:rFonts w:hint="eastAsia" w:asciiTheme="minorEastAsia" w:hAnsiTheme="minorEastAsia"/>
                <w:sz w:val="18"/>
                <w:szCs w:val="18"/>
                <w:lang w:val="en-US" w:eastAsia="zh-CN"/>
              </w:rPr>
              <w:t>调研方式</w:t>
            </w:r>
          </w:p>
        </w:tc>
        <w:tc>
          <w:tcPr>
            <w:tcW w:w="832" w:type="pct"/>
            <w:shd w:val="clear" w:color="000000" w:fill="auto"/>
            <w:vAlign w:val="center"/>
          </w:tcPr>
          <w:p>
            <w:pPr>
              <w:widowControl/>
              <w:adjustRightInd w:val="0"/>
              <w:snapToGrid w:val="0"/>
              <w:jc w:val="center"/>
              <w:rPr>
                <w:rFonts w:hint="default" w:asciiTheme="minorEastAsia" w:hAnsiTheme="minorEastAsia"/>
                <w:sz w:val="18"/>
                <w:szCs w:val="18"/>
                <w:lang w:val="en-US" w:eastAsia="zh-CN"/>
              </w:rPr>
            </w:pPr>
            <w:r>
              <w:rPr>
                <w:rFonts w:hint="eastAsia" w:asciiTheme="minorEastAsia" w:hAnsiTheme="minorEastAsia"/>
                <w:sz w:val="18"/>
                <w:szCs w:val="18"/>
                <w:lang w:val="en-US" w:eastAsia="zh-CN"/>
              </w:rPr>
              <w:t>调研内容</w:t>
            </w:r>
          </w:p>
        </w:tc>
        <w:tc>
          <w:tcPr>
            <w:tcW w:w="832" w:type="pct"/>
            <w:shd w:val="clear" w:color="000000" w:fill="auto"/>
            <w:vAlign w:val="center"/>
          </w:tcPr>
          <w:p>
            <w:pPr>
              <w:widowControl/>
              <w:adjustRightInd w:val="0"/>
              <w:snapToGrid w:val="0"/>
              <w:jc w:val="center"/>
              <w:rPr>
                <w:rFonts w:hint="eastAsia" w:asciiTheme="minorEastAsia" w:hAnsiTheme="minorEastAsia"/>
                <w:sz w:val="18"/>
                <w:szCs w:val="18"/>
                <w:lang w:val="en-US" w:eastAsia="zh-CN"/>
              </w:rPr>
            </w:pPr>
            <w:r>
              <w:rPr>
                <w:rFonts w:hint="eastAsia" w:asciiTheme="minorEastAsia" w:hAnsiTheme="minorEastAsia"/>
                <w:sz w:val="18"/>
                <w:szCs w:val="18"/>
                <w:lang w:val="en-US" w:eastAsia="zh-CN"/>
              </w:rPr>
              <w:t>联系人</w:t>
            </w:r>
          </w:p>
        </w:tc>
        <w:tc>
          <w:tcPr>
            <w:tcW w:w="835" w:type="pct"/>
            <w:shd w:val="clear" w:color="000000" w:fill="auto"/>
            <w:vAlign w:val="center"/>
          </w:tcPr>
          <w:p>
            <w:pPr>
              <w:widowControl/>
              <w:adjustRightInd w:val="0"/>
              <w:snapToGrid w:val="0"/>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jc w:val="center"/>
        </w:trPr>
        <w:tc>
          <w:tcPr>
            <w:tcW w:w="832" w:type="pct"/>
            <w:shd w:val="clear" w:color="000000" w:fill="auto"/>
            <w:vAlign w:val="center"/>
          </w:tcPr>
          <w:p>
            <w:pPr>
              <w:widowControl/>
              <w:adjustRightInd w:val="0"/>
              <w:snapToGrid w:val="0"/>
              <w:jc w:val="center"/>
              <w:rPr>
                <w:rFonts w:hint="default" w:asciiTheme="minorEastAsia" w:hAnsiTheme="minorEastAsia"/>
                <w:sz w:val="18"/>
                <w:szCs w:val="18"/>
                <w:lang w:val="en-US" w:eastAsia="zh-CN"/>
              </w:rPr>
            </w:pPr>
            <w:r>
              <w:rPr>
                <w:rFonts w:hint="eastAsia" w:asciiTheme="minorEastAsia" w:hAnsiTheme="minorEastAsia"/>
                <w:sz w:val="18"/>
                <w:szCs w:val="18"/>
                <w:lang w:val="en-US" w:eastAsia="zh-CN"/>
              </w:rPr>
              <w:t>物流服务商</w:t>
            </w:r>
          </w:p>
        </w:tc>
        <w:tc>
          <w:tcPr>
            <w:tcW w:w="832" w:type="pct"/>
            <w:shd w:val="clear" w:color="000000" w:fill="auto"/>
            <w:vAlign w:val="center"/>
          </w:tcPr>
          <w:p>
            <w:pPr>
              <w:widowControl/>
              <w:adjustRightInd w:val="0"/>
              <w:snapToGrid w:val="0"/>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京东物流</w:t>
            </w:r>
          </w:p>
        </w:tc>
        <w:tc>
          <w:tcPr>
            <w:tcW w:w="832" w:type="pct"/>
            <w:shd w:val="clear" w:color="000000" w:fill="auto"/>
            <w:vAlign w:val="center"/>
          </w:tcPr>
          <w:p>
            <w:pPr>
              <w:widowControl/>
              <w:adjustRightInd w:val="0"/>
              <w:snapToGrid w:val="0"/>
              <w:jc w:val="center"/>
              <w:rPr>
                <w:rFonts w:hint="default" w:asciiTheme="minorEastAsia" w:hAnsiTheme="minorEastAsia"/>
                <w:sz w:val="18"/>
                <w:szCs w:val="18"/>
                <w:lang w:val="en-US" w:eastAsia="zh-CN"/>
              </w:rPr>
            </w:pPr>
            <w:r>
              <w:rPr>
                <w:rFonts w:hint="eastAsia" w:asciiTheme="minorEastAsia" w:hAnsiTheme="minorEastAsia"/>
                <w:sz w:val="18"/>
                <w:szCs w:val="18"/>
                <w:lang w:val="en-US" w:eastAsia="zh-CN"/>
              </w:rPr>
              <w:t>实地调研和线上调研</w:t>
            </w:r>
          </w:p>
        </w:tc>
        <w:tc>
          <w:tcPr>
            <w:tcW w:w="832" w:type="pct"/>
            <w:shd w:val="clear" w:color="000000" w:fill="auto"/>
            <w:vAlign w:val="center"/>
          </w:tcPr>
          <w:p>
            <w:pPr>
              <w:widowControl/>
              <w:adjustRightInd w:val="0"/>
              <w:snapToGrid w:val="0"/>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从受理到出库的作业要求</w:t>
            </w:r>
          </w:p>
        </w:tc>
        <w:tc>
          <w:tcPr>
            <w:tcW w:w="832" w:type="pct"/>
            <w:shd w:val="clear" w:color="000000" w:fill="auto"/>
            <w:vAlign w:val="center"/>
          </w:tcPr>
          <w:p>
            <w:pPr>
              <w:widowControl/>
              <w:adjustRightInd w:val="0"/>
              <w:snapToGrid w:val="0"/>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林晓</w:t>
            </w:r>
          </w:p>
        </w:tc>
        <w:tc>
          <w:tcPr>
            <w:tcW w:w="835" w:type="pct"/>
            <w:shd w:val="clear" w:color="000000" w:fill="auto"/>
            <w:vAlign w:val="center"/>
          </w:tcPr>
          <w:p>
            <w:pPr>
              <w:widowControl/>
              <w:adjustRightInd w:val="0"/>
              <w:snapToGrid w:val="0"/>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18618251921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jc w:val="center"/>
        </w:trPr>
        <w:tc>
          <w:tcPr>
            <w:tcW w:w="832" w:type="pct"/>
            <w:shd w:val="clear" w:color="000000" w:fill="auto"/>
            <w:vAlign w:val="center"/>
          </w:tcPr>
          <w:p>
            <w:pPr>
              <w:widowControl/>
              <w:adjustRightInd w:val="0"/>
              <w:snapToGrid w:val="0"/>
              <w:jc w:val="center"/>
              <w:rPr>
                <w:rFonts w:hint="default"/>
                <w:sz w:val="18"/>
                <w:szCs w:val="20"/>
                <w:lang w:val="en-US" w:eastAsia="zh-CN"/>
              </w:rPr>
            </w:pPr>
            <w:r>
              <w:rPr>
                <w:rFonts w:hint="eastAsia"/>
                <w:sz w:val="18"/>
                <w:szCs w:val="20"/>
                <w:lang w:val="en-US" w:eastAsia="zh-CN"/>
              </w:rPr>
              <w:t>电子商务运营商</w:t>
            </w:r>
          </w:p>
        </w:tc>
        <w:tc>
          <w:tcPr>
            <w:tcW w:w="832" w:type="pct"/>
            <w:shd w:val="clear" w:color="000000" w:fill="auto"/>
            <w:vAlign w:val="center"/>
          </w:tcPr>
          <w:p>
            <w:pPr>
              <w:widowControl/>
              <w:adjustRightInd w:val="0"/>
              <w:snapToGrid w:val="0"/>
              <w:jc w:val="center"/>
              <w:rPr>
                <w:rFonts w:hint="default" w:asciiTheme="minorEastAsia" w:hAnsiTheme="minorEastAsia" w:eastAsiaTheme="minorEastAsia"/>
                <w:sz w:val="18"/>
                <w:szCs w:val="20"/>
                <w:lang w:val="en-US" w:eastAsia="zh-CN"/>
              </w:rPr>
            </w:pPr>
            <w:r>
              <w:rPr>
                <w:rFonts w:hint="eastAsia"/>
                <w:sz w:val="18"/>
                <w:szCs w:val="20"/>
                <w:lang w:val="en-US" w:eastAsia="zh-CN"/>
              </w:rPr>
              <w:t>宝尊电商</w:t>
            </w:r>
          </w:p>
        </w:tc>
        <w:tc>
          <w:tcPr>
            <w:tcW w:w="832" w:type="pct"/>
            <w:shd w:val="clear" w:color="000000" w:fill="auto"/>
            <w:vAlign w:val="center"/>
          </w:tcPr>
          <w:p>
            <w:pPr>
              <w:widowControl/>
              <w:adjustRightInd w:val="0"/>
              <w:snapToGrid w:val="0"/>
              <w:jc w:val="center"/>
              <w:rPr>
                <w:rFonts w:hint="eastAsia"/>
                <w:sz w:val="18"/>
                <w:szCs w:val="20"/>
                <w:lang w:val="en-US" w:eastAsia="zh-CN"/>
              </w:rPr>
            </w:pPr>
            <w:r>
              <w:rPr>
                <w:rFonts w:hint="eastAsia" w:asciiTheme="minorEastAsia" w:hAnsiTheme="minorEastAsia"/>
                <w:sz w:val="18"/>
                <w:szCs w:val="18"/>
                <w:lang w:val="en-US" w:eastAsia="zh-CN"/>
              </w:rPr>
              <w:t>实地调研和线上调研</w:t>
            </w:r>
          </w:p>
        </w:tc>
        <w:tc>
          <w:tcPr>
            <w:tcW w:w="832" w:type="pct"/>
            <w:shd w:val="clear" w:color="000000" w:fill="auto"/>
            <w:vAlign w:val="center"/>
          </w:tcPr>
          <w:p>
            <w:pPr>
              <w:widowControl/>
              <w:adjustRightInd w:val="0"/>
              <w:snapToGrid w:val="0"/>
              <w:jc w:val="center"/>
              <w:rPr>
                <w:rFonts w:hint="default" w:eastAsiaTheme="minorEastAsia"/>
                <w:sz w:val="18"/>
                <w:szCs w:val="20"/>
                <w:lang w:val="en-US" w:eastAsia="zh-CN"/>
              </w:rPr>
            </w:pPr>
            <w:r>
              <w:rPr>
                <w:rFonts w:hint="eastAsia"/>
                <w:sz w:val="18"/>
                <w:szCs w:val="20"/>
                <w:lang w:val="en-US" w:eastAsia="zh-CN"/>
              </w:rPr>
              <w:t>从受理到入库的作业要求和业务实践中流程存在问题</w:t>
            </w:r>
          </w:p>
        </w:tc>
        <w:tc>
          <w:tcPr>
            <w:tcW w:w="832" w:type="pct"/>
            <w:shd w:val="clear" w:color="000000" w:fill="auto"/>
            <w:vAlign w:val="center"/>
          </w:tcPr>
          <w:p>
            <w:pPr>
              <w:widowControl/>
              <w:adjustRightInd w:val="0"/>
              <w:snapToGrid w:val="0"/>
              <w:jc w:val="center"/>
              <w:rPr>
                <w:rFonts w:hint="default" w:eastAsiaTheme="minorEastAsia"/>
                <w:sz w:val="18"/>
                <w:szCs w:val="20"/>
                <w:lang w:val="en-US" w:eastAsia="zh-CN"/>
              </w:rPr>
            </w:pPr>
            <w:r>
              <w:rPr>
                <w:rFonts w:hint="eastAsia"/>
                <w:sz w:val="18"/>
                <w:szCs w:val="20"/>
                <w:lang w:val="en-US" w:eastAsia="zh-CN"/>
              </w:rPr>
              <w:t>黄建城</w:t>
            </w:r>
          </w:p>
        </w:tc>
        <w:tc>
          <w:tcPr>
            <w:tcW w:w="835" w:type="pct"/>
            <w:shd w:val="clear" w:color="000000" w:fill="auto"/>
            <w:vAlign w:val="center"/>
          </w:tcPr>
          <w:p>
            <w:pPr>
              <w:adjustRightInd w:val="0"/>
              <w:snapToGrid w:val="0"/>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18616271616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jc w:val="center"/>
        </w:trPr>
        <w:tc>
          <w:tcPr>
            <w:tcW w:w="832" w:type="pct"/>
            <w:shd w:val="clear" w:color="000000" w:fill="auto"/>
            <w:vAlign w:val="center"/>
          </w:tcPr>
          <w:p>
            <w:pPr>
              <w:widowControl/>
              <w:adjustRightInd w:val="0"/>
              <w:snapToGrid w:val="0"/>
              <w:jc w:val="center"/>
              <w:rPr>
                <w:rFonts w:hint="default"/>
                <w:sz w:val="18"/>
                <w:szCs w:val="20"/>
                <w:lang w:val="en-US" w:eastAsia="zh-CN"/>
              </w:rPr>
            </w:pPr>
            <w:r>
              <w:rPr>
                <w:rFonts w:hint="eastAsia"/>
                <w:sz w:val="18"/>
                <w:szCs w:val="20"/>
                <w:lang w:val="en-US" w:eastAsia="zh-CN"/>
              </w:rPr>
              <w:t>电商平台</w:t>
            </w:r>
          </w:p>
        </w:tc>
        <w:tc>
          <w:tcPr>
            <w:tcW w:w="832" w:type="pct"/>
            <w:shd w:val="clear" w:color="000000" w:fill="auto"/>
            <w:vAlign w:val="center"/>
          </w:tcPr>
          <w:p>
            <w:pPr>
              <w:widowControl/>
              <w:adjustRightInd w:val="0"/>
              <w:snapToGrid w:val="0"/>
              <w:jc w:val="center"/>
              <w:rPr>
                <w:rFonts w:hint="default" w:eastAsiaTheme="minorEastAsia"/>
                <w:sz w:val="18"/>
                <w:szCs w:val="20"/>
                <w:lang w:val="en-US" w:eastAsia="zh-CN"/>
              </w:rPr>
            </w:pPr>
            <w:r>
              <w:rPr>
                <w:rFonts w:hint="eastAsia"/>
                <w:sz w:val="18"/>
                <w:szCs w:val="20"/>
                <w:lang w:val="en-US" w:eastAsia="zh-CN"/>
              </w:rPr>
              <w:t>伊邦科技</w:t>
            </w:r>
          </w:p>
        </w:tc>
        <w:tc>
          <w:tcPr>
            <w:tcW w:w="832" w:type="pct"/>
            <w:shd w:val="clear" w:color="000000" w:fill="auto"/>
            <w:vAlign w:val="center"/>
          </w:tcPr>
          <w:p>
            <w:pPr>
              <w:widowControl/>
              <w:adjustRightInd w:val="0"/>
              <w:snapToGrid w:val="0"/>
              <w:jc w:val="center"/>
              <w:rPr>
                <w:rFonts w:hint="default"/>
                <w:sz w:val="18"/>
                <w:szCs w:val="20"/>
                <w:lang w:val="en-US" w:eastAsia="zh-CN"/>
              </w:rPr>
            </w:pPr>
            <w:r>
              <w:rPr>
                <w:rFonts w:hint="eastAsia" w:asciiTheme="minorEastAsia" w:hAnsiTheme="minorEastAsia"/>
                <w:sz w:val="18"/>
                <w:szCs w:val="18"/>
                <w:lang w:val="en-US" w:eastAsia="zh-CN"/>
              </w:rPr>
              <w:t>实地调研</w:t>
            </w:r>
          </w:p>
        </w:tc>
        <w:tc>
          <w:tcPr>
            <w:tcW w:w="832" w:type="pct"/>
            <w:shd w:val="clear" w:color="000000" w:fill="auto"/>
            <w:vAlign w:val="center"/>
          </w:tcPr>
          <w:p>
            <w:pPr>
              <w:widowControl/>
              <w:adjustRightInd w:val="0"/>
              <w:snapToGrid w:val="0"/>
              <w:jc w:val="center"/>
              <w:rPr>
                <w:rFonts w:hint="default" w:eastAsiaTheme="minorEastAsia"/>
                <w:sz w:val="18"/>
                <w:szCs w:val="20"/>
                <w:lang w:val="en-US" w:eastAsia="zh-CN"/>
              </w:rPr>
            </w:pPr>
            <w:r>
              <w:rPr>
                <w:rFonts w:hint="eastAsia"/>
                <w:sz w:val="18"/>
                <w:szCs w:val="20"/>
                <w:lang w:val="en-US" w:eastAsia="zh-CN"/>
              </w:rPr>
              <w:t>从受理到入库的作业要求和业务实践中流程存在问题</w:t>
            </w:r>
          </w:p>
        </w:tc>
        <w:tc>
          <w:tcPr>
            <w:tcW w:w="832" w:type="pct"/>
            <w:shd w:val="clear" w:color="000000" w:fill="auto"/>
            <w:vAlign w:val="center"/>
          </w:tcPr>
          <w:p>
            <w:pPr>
              <w:widowControl/>
              <w:adjustRightInd w:val="0"/>
              <w:snapToGrid w:val="0"/>
              <w:jc w:val="center"/>
              <w:rPr>
                <w:rFonts w:hint="default" w:eastAsiaTheme="minorEastAsia"/>
                <w:sz w:val="18"/>
                <w:szCs w:val="20"/>
                <w:lang w:val="en-US" w:eastAsia="zh-CN"/>
              </w:rPr>
            </w:pPr>
            <w:r>
              <w:rPr>
                <w:rFonts w:hint="eastAsia"/>
                <w:sz w:val="18"/>
                <w:szCs w:val="20"/>
                <w:lang w:val="en-US" w:eastAsia="zh-CN"/>
              </w:rPr>
              <w:t>周凯</w:t>
            </w:r>
          </w:p>
        </w:tc>
        <w:tc>
          <w:tcPr>
            <w:tcW w:w="835" w:type="pct"/>
            <w:shd w:val="clear" w:color="000000" w:fill="auto"/>
            <w:vAlign w:val="center"/>
          </w:tcPr>
          <w:p>
            <w:pPr>
              <w:adjustRightInd w:val="0"/>
              <w:snapToGrid w:val="0"/>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13816589261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jc w:val="center"/>
        </w:trPr>
        <w:tc>
          <w:tcPr>
            <w:tcW w:w="832" w:type="pct"/>
            <w:shd w:val="clear" w:color="000000" w:fill="auto"/>
            <w:vAlign w:val="center"/>
          </w:tcPr>
          <w:p>
            <w:pPr>
              <w:widowControl/>
              <w:adjustRightInd w:val="0"/>
              <w:snapToGrid w:val="0"/>
              <w:jc w:val="center"/>
              <w:rPr>
                <w:rFonts w:hint="default"/>
                <w:sz w:val="18"/>
                <w:szCs w:val="20"/>
                <w:lang w:val="en-US" w:eastAsia="zh-CN"/>
              </w:rPr>
            </w:pPr>
            <w:r>
              <w:rPr>
                <w:rFonts w:hint="eastAsia"/>
                <w:sz w:val="18"/>
                <w:szCs w:val="20"/>
                <w:lang w:val="en-US" w:eastAsia="zh-CN"/>
              </w:rPr>
              <w:t>行业协会</w:t>
            </w:r>
          </w:p>
        </w:tc>
        <w:tc>
          <w:tcPr>
            <w:tcW w:w="832" w:type="pct"/>
            <w:shd w:val="clear" w:color="000000" w:fill="auto"/>
            <w:vAlign w:val="center"/>
          </w:tcPr>
          <w:p>
            <w:pPr>
              <w:widowControl/>
              <w:adjustRightInd w:val="0"/>
              <w:snapToGrid w:val="0"/>
              <w:jc w:val="center"/>
              <w:rPr>
                <w:rFonts w:hint="default" w:eastAsiaTheme="minorEastAsia"/>
                <w:sz w:val="18"/>
                <w:szCs w:val="20"/>
                <w:lang w:val="en-US" w:eastAsia="zh-CN"/>
              </w:rPr>
            </w:pPr>
            <w:r>
              <w:rPr>
                <w:rFonts w:hint="eastAsia"/>
                <w:sz w:val="18"/>
                <w:szCs w:val="20"/>
                <w:lang w:val="en-US" w:eastAsia="zh-CN"/>
              </w:rPr>
              <w:t>浦东新区电子商务行业协会</w:t>
            </w:r>
          </w:p>
        </w:tc>
        <w:tc>
          <w:tcPr>
            <w:tcW w:w="832" w:type="pct"/>
            <w:shd w:val="clear" w:color="000000" w:fill="auto"/>
            <w:vAlign w:val="center"/>
          </w:tcPr>
          <w:p>
            <w:pPr>
              <w:widowControl/>
              <w:adjustRightInd w:val="0"/>
              <w:snapToGrid w:val="0"/>
              <w:jc w:val="center"/>
              <w:rPr>
                <w:rFonts w:hint="default"/>
                <w:sz w:val="18"/>
                <w:szCs w:val="20"/>
                <w:lang w:val="en-US" w:eastAsia="zh-CN"/>
              </w:rPr>
            </w:pPr>
            <w:r>
              <w:rPr>
                <w:rFonts w:hint="eastAsia"/>
                <w:sz w:val="18"/>
                <w:szCs w:val="20"/>
                <w:lang w:val="en-US" w:eastAsia="zh-CN"/>
              </w:rPr>
              <w:t>线上调研</w:t>
            </w:r>
          </w:p>
        </w:tc>
        <w:tc>
          <w:tcPr>
            <w:tcW w:w="832" w:type="pct"/>
            <w:shd w:val="clear" w:color="000000" w:fill="auto"/>
            <w:vAlign w:val="center"/>
          </w:tcPr>
          <w:p>
            <w:pPr>
              <w:widowControl/>
              <w:adjustRightInd w:val="0"/>
              <w:snapToGrid w:val="0"/>
              <w:jc w:val="center"/>
              <w:rPr>
                <w:rFonts w:hint="default" w:eastAsiaTheme="minorEastAsia"/>
                <w:sz w:val="18"/>
                <w:szCs w:val="20"/>
                <w:lang w:val="en-US" w:eastAsia="zh-CN"/>
              </w:rPr>
            </w:pPr>
            <w:r>
              <w:rPr>
                <w:rFonts w:hint="eastAsia"/>
                <w:sz w:val="18"/>
                <w:szCs w:val="20"/>
                <w:lang w:val="en-US" w:eastAsia="zh-CN"/>
              </w:rPr>
              <w:t>行业对相关服务的需求和流程中存在问题</w:t>
            </w:r>
          </w:p>
        </w:tc>
        <w:tc>
          <w:tcPr>
            <w:tcW w:w="832" w:type="pct"/>
            <w:shd w:val="clear" w:color="000000" w:fill="auto"/>
            <w:vAlign w:val="center"/>
          </w:tcPr>
          <w:p>
            <w:pPr>
              <w:widowControl/>
              <w:adjustRightInd w:val="0"/>
              <w:snapToGrid w:val="0"/>
              <w:jc w:val="center"/>
              <w:rPr>
                <w:rFonts w:hint="default" w:eastAsiaTheme="minorEastAsia"/>
                <w:sz w:val="18"/>
                <w:szCs w:val="20"/>
                <w:lang w:val="en-US" w:eastAsia="zh-CN"/>
              </w:rPr>
            </w:pPr>
            <w:r>
              <w:rPr>
                <w:rFonts w:hint="eastAsia"/>
                <w:sz w:val="18"/>
                <w:szCs w:val="20"/>
                <w:lang w:val="en-US" w:eastAsia="zh-CN"/>
              </w:rPr>
              <w:t>黄昕帆</w:t>
            </w:r>
          </w:p>
        </w:tc>
        <w:tc>
          <w:tcPr>
            <w:tcW w:w="835" w:type="pct"/>
            <w:shd w:val="clear" w:color="000000" w:fill="auto"/>
            <w:vAlign w:val="center"/>
          </w:tcPr>
          <w:p>
            <w:pPr>
              <w:widowControl/>
              <w:adjustRightInd w:val="0"/>
              <w:snapToGrid w:val="0"/>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13585802166</w:t>
            </w:r>
          </w:p>
        </w:tc>
      </w:tr>
    </w:tbl>
    <w:p>
      <w:pPr>
        <w:spacing w:line="360" w:lineRule="auto"/>
        <w:ind w:firstLine="560" w:firstLineChars="200"/>
        <w:rPr>
          <w:rFonts w:hint="default" w:ascii="宋体" w:hAnsi="宋体" w:eastAsia="宋体"/>
          <w:sz w:val="28"/>
          <w:szCs w:val="28"/>
          <w:lang w:val="en-US" w:eastAsia="zh-CN"/>
        </w:rPr>
      </w:pPr>
      <w:r>
        <w:rPr>
          <w:rFonts w:hint="eastAsia" w:ascii="宋体" w:hAnsi="宋体" w:eastAsia="宋体"/>
          <w:sz w:val="28"/>
          <w:szCs w:val="28"/>
          <w:lang w:val="en-US" w:eastAsia="zh-CN"/>
        </w:rPr>
        <w:t>7 追溯管理</w:t>
      </w:r>
    </w:p>
    <w:p>
      <w:pPr>
        <w:spacing w:line="360" w:lineRule="auto"/>
        <w:ind w:firstLine="560" w:firstLineChars="200"/>
        <w:rPr>
          <w:rFonts w:hint="default" w:ascii="Times New Roman" w:hAnsi="Times New Roman" w:cs="Times New Roman"/>
          <w:kern w:val="2"/>
          <w:sz w:val="28"/>
          <w:szCs w:val="28"/>
        </w:rPr>
      </w:pPr>
      <w:r>
        <w:rPr>
          <w:rFonts w:hint="default" w:ascii="Times New Roman" w:hAnsi="Times New Roman" w:cs="Times New Roman"/>
          <w:kern w:val="2"/>
          <w:sz w:val="28"/>
          <w:szCs w:val="28"/>
          <w:lang w:val="en-US" w:eastAsia="zh-CN"/>
        </w:rPr>
        <w:t>说明：本标准</w:t>
      </w:r>
      <w:r>
        <w:rPr>
          <w:rFonts w:hint="default" w:ascii="Times New Roman" w:hAnsi="Times New Roman" w:cs="Times New Roman"/>
          <w:kern w:val="2"/>
          <w:sz w:val="28"/>
          <w:szCs w:val="28"/>
        </w:rPr>
        <w:t>根据逆向物流的特点（可能会进行二次销售等再利用）加入了追溯管理</w:t>
      </w:r>
      <w:r>
        <w:rPr>
          <w:rFonts w:hint="default" w:ascii="Times New Roman" w:hAnsi="Times New Roman" w:cs="Times New Roman"/>
          <w:kern w:val="2"/>
          <w:sz w:val="28"/>
          <w:szCs w:val="28"/>
          <w:lang w:eastAsia="zh-CN"/>
        </w:rPr>
        <w:t>。</w:t>
      </w:r>
      <w:r>
        <w:rPr>
          <w:rFonts w:hint="default" w:ascii="Times New Roman" w:hAnsi="Times New Roman" w:cs="Times New Roman"/>
          <w:kern w:val="2"/>
          <w:sz w:val="28"/>
          <w:szCs w:val="28"/>
        </w:rPr>
        <w:t>追溯管理要求参考GB/T 36061-2018《电子商务交易产品可追溯性通用规范》8.3.1 追溯信息保存。</w:t>
      </w:r>
    </w:p>
    <w:p>
      <w:pPr>
        <w:spacing w:line="360" w:lineRule="auto"/>
        <w:ind w:firstLine="560" w:firstLineChars="200"/>
        <w:rPr>
          <w:rFonts w:hAnsi="宋体" w:cstheme="minorBidi"/>
          <w:color w:val="0000FF"/>
          <w:kern w:val="2"/>
          <w:sz w:val="28"/>
          <w:szCs w:val="28"/>
        </w:rPr>
      </w:pPr>
      <w:r>
        <w:rPr>
          <w:rFonts w:hint="default" w:ascii="Times New Roman" w:hAnsi="Times New Roman" w:cs="Times New Roman"/>
          <w:kern w:val="2"/>
          <w:sz w:val="28"/>
          <w:szCs w:val="28"/>
          <w:lang w:val="en-US" w:eastAsia="zh-CN"/>
        </w:rPr>
        <w:t>本章</w:t>
      </w:r>
      <w:r>
        <w:rPr>
          <w:rFonts w:hint="default" w:ascii="Times New Roman" w:hAnsi="Times New Roman" w:cs="Times New Roman"/>
          <w:kern w:val="2"/>
          <w:sz w:val="28"/>
          <w:szCs w:val="28"/>
        </w:rPr>
        <w:t>提出了对返货赋电子商务逆向物流物品编码，按照一件一码的方式进行管</w:t>
      </w:r>
      <w:r>
        <w:rPr>
          <w:rFonts w:hint="eastAsia" w:hAnsi="宋体" w:cstheme="minorBidi"/>
          <w:kern w:val="2"/>
          <w:sz w:val="28"/>
          <w:szCs w:val="28"/>
        </w:rPr>
        <w:t>理（商品原有的标识码可能无法唯一标识，如批次号）</w:t>
      </w:r>
      <w:r>
        <w:rPr>
          <w:rFonts w:hint="eastAsia" w:hAnsi="宋体" w:cstheme="minorBidi"/>
          <w:kern w:val="2"/>
          <w:sz w:val="28"/>
          <w:szCs w:val="28"/>
          <w:lang w:eastAsia="zh-CN"/>
        </w:rPr>
        <w:t>，</w:t>
      </w:r>
      <w:r>
        <w:rPr>
          <w:rFonts w:hint="eastAsia" w:hAnsi="宋体" w:cstheme="minorBidi"/>
          <w:kern w:val="2"/>
          <w:sz w:val="28"/>
          <w:szCs w:val="28"/>
          <w:lang w:val="en-US" w:eastAsia="zh-CN"/>
        </w:rPr>
        <w:t>以便追溯返货的来源和去向。</w:t>
      </w:r>
      <w:r>
        <w:rPr>
          <w:rFonts w:hint="eastAsia" w:hAnsi="宋体" w:cstheme="minorBidi"/>
          <w:kern w:val="2"/>
          <w:sz w:val="28"/>
          <w:szCs w:val="28"/>
        </w:rPr>
        <w:t>但根据调研，目前不是所有的物流企业可以做到重新赋码管理，因此该条款为推荐</w:t>
      </w:r>
      <w:r>
        <w:rPr>
          <w:rFonts w:hint="eastAsia" w:hAnsi="宋体" w:cstheme="minorBidi"/>
          <w:kern w:val="2"/>
          <w:sz w:val="28"/>
          <w:szCs w:val="28"/>
          <w:lang w:val="en-US" w:eastAsia="zh-CN"/>
        </w:rPr>
        <w:t>性</w:t>
      </w:r>
      <w:r>
        <w:rPr>
          <w:rFonts w:hint="eastAsia" w:hAnsi="宋体" w:cstheme="minorBidi"/>
          <w:kern w:val="2"/>
          <w:sz w:val="28"/>
          <w:szCs w:val="28"/>
        </w:rPr>
        <w:t>。</w:t>
      </w:r>
    </w:p>
    <w:p>
      <w:pPr>
        <w:spacing w:line="360" w:lineRule="auto"/>
        <w:ind w:firstLine="560" w:firstLineChars="200"/>
        <w:rPr>
          <w:rFonts w:ascii="宋体" w:hAnsi="宋体" w:eastAsia="宋体"/>
          <w:sz w:val="28"/>
          <w:szCs w:val="28"/>
        </w:rPr>
      </w:pPr>
      <w:r>
        <w:rPr>
          <w:rFonts w:hint="eastAsia" w:ascii="宋体" w:hAnsi="宋体" w:eastAsia="宋体"/>
          <w:sz w:val="28"/>
          <w:szCs w:val="28"/>
          <w:lang w:val="en-US" w:eastAsia="zh-CN"/>
        </w:rPr>
        <w:t>8</w:t>
      </w:r>
      <w:r>
        <w:rPr>
          <w:rFonts w:hint="eastAsia" w:ascii="宋体" w:hAnsi="宋体" w:eastAsia="宋体"/>
          <w:sz w:val="28"/>
          <w:szCs w:val="28"/>
        </w:rPr>
        <w:t xml:space="preserve"> 投诉与反馈</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说明：本章主要介绍了电子商务逆向物流服务过程结束后的投诉与反馈的内容要求。投诉与反馈是电子商务逆向物流过程中非常容易出现的情况，因此规定了投诉与反馈的规范要求，主要包括投诉反馈机制的建立、处理投诉与反馈的人员设置、处理</w:t>
      </w:r>
      <w:r>
        <w:rPr>
          <w:rFonts w:hint="eastAsia" w:ascii="宋体" w:hAnsi="宋体" w:eastAsia="宋体"/>
          <w:sz w:val="28"/>
          <w:szCs w:val="28"/>
          <w:lang w:val="en-US" w:eastAsia="zh-CN"/>
        </w:rPr>
        <w:t>时效</w:t>
      </w:r>
      <w:r>
        <w:rPr>
          <w:rFonts w:hint="eastAsia" w:ascii="宋体" w:hAnsi="宋体" w:eastAsia="宋体"/>
          <w:sz w:val="28"/>
          <w:szCs w:val="28"/>
        </w:rPr>
        <w:t>。</w:t>
      </w:r>
    </w:p>
    <w:p>
      <w:pPr>
        <w:spacing w:line="360" w:lineRule="auto"/>
        <w:ind w:firstLine="560" w:firstLineChars="200"/>
        <w:textAlignment w:val="baseline"/>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10 服务评价与改进</w:t>
      </w:r>
    </w:p>
    <w:p>
      <w:pPr>
        <w:spacing w:line="360" w:lineRule="auto"/>
        <w:ind w:firstLine="560" w:firstLineChars="200"/>
        <w:textAlignment w:val="baseline"/>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说明：本章提出了电子商务逆向物流服务商的服务质量评估方式和改进，评价指标见附录A。</w:t>
      </w:r>
    </w:p>
    <w:p>
      <w:pPr>
        <w:spacing w:line="360" w:lineRule="auto"/>
        <w:ind w:firstLine="560" w:firstLineChars="200"/>
        <w:textAlignment w:val="baseline"/>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附录A 电子商务逆向物流服务质量评价指标</w:t>
      </w:r>
    </w:p>
    <w:p>
      <w:pPr>
        <w:spacing w:line="360" w:lineRule="auto"/>
        <w:ind w:firstLine="560" w:firstLineChars="200"/>
        <w:textAlignment w:val="baseline"/>
        <w:rPr>
          <w:rFonts w:ascii="宋体" w:hAnsi="宋体" w:eastAsia="宋体" w:cs="Times New Roman"/>
          <w:sz w:val="28"/>
          <w:szCs w:val="28"/>
        </w:rPr>
      </w:pPr>
      <w:r>
        <w:rPr>
          <w:rFonts w:hint="eastAsia" w:ascii="宋体" w:hAnsi="宋体" w:eastAsia="宋体" w:cs="Times New Roman"/>
          <w:sz w:val="28"/>
          <w:szCs w:val="28"/>
        </w:rPr>
        <w:t>说明：本</w:t>
      </w:r>
      <w:r>
        <w:rPr>
          <w:rFonts w:hint="eastAsia" w:ascii="宋体" w:hAnsi="宋体" w:eastAsia="宋体" w:cs="Times New Roman"/>
          <w:sz w:val="28"/>
          <w:szCs w:val="28"/>
          <w:lang w:val="en-US" w:eastAsia="zh-CN"/>
        </w:rPr>
        <w:t>附录</w:t>
      </w:r>
      <w:r>
        <w:rPr>
          <w:rFonts w:hint="eastAsia" w:ascii="宋体" w:hAnsi="宋体" w:eastAsia="宋体" w:cs="Times New Roman"/>
          <w:sz w:val="28"/>
          <w:szCs w:val="28"/>
        </w:rPr>
        <w:t>主要针对电子商务逆向物流服务规范要求提出相关评价指标，</w:t>
      </w:r>
      <w:r>
        <w:rPr>
          <w:rFonts w:hint="eastAsia" w:ascii="宋体" w:hAnsi="宋体" w:eastAsia="宋体" w:cs="Times New Roman"/>
          <w:sz w:val="28"/>
          <w:szCs w:val="28"/>
          <w:lang w:val="en-US" w:eastAsia="zh-CN"/>
        </w:rPr>
        <w:t>为满足普遍性原则，本附录为资料性附录，</w:t>
      </w:r>
      <w:r>
        <w:rPr>
          <w:rFonts w:hint="eastAsia" w:ascii="宋体" w:hAnsi="宋体" w:eastAsia="宋体" w:cs="Times New Roman"/>
          <w:sz w:val="28"/>
          <w:szCs w:val="28"/>
        </w:rPr>
        <w:t>具体包括以下指标：</w:t>
      </w:r>
    </w:p>
    <w:p>
      <w:pPr>
        <w:spacing w:line="360" w:lineRule="auto"/>
        <w:ind w:firstLine="560" w:firstLineChars="200"/>
        <w:textAlignment w:val="baseline"/>
        <w:rPr>
          <w:rFonts w:ascii="宋体" w:hAnsi="宋体" w:eastAsia="宋体" w:cs="Times New Roman"/>
          <w:sz w:val="28"/>
          <w:szCs w:val="28"/>
        </w:rPr>
      </w:pPr>
      <w:r>
        <w:rPr>
          <w:rFonts w:ascii="宋体" w:hAnsi="宋体" w:eastAsia="宋体" w:cs="Times New Roman"/>
          <w:sz w:val="28"/>
          <w:szCs w:val="28"/>
        </w:rPr>
        <w:t>逆向物流</w:t>
      </w:r>
      <w:r>
        <w:rPr>
          <w:rFonts w:hint="eastAsia" w:ascii="宋体" w:hAnsi="宋体" w:eastAsia="宋体" w:cs="Times New Roman"/>
          <w:sz w:val="28"/>
          <w:szCs w:val="28"/>
        </w:rPr>
        <w:t>订</w:t>
      </w:r>
      <w:r>
        <w:rPr>
          <w:rFonts w:ascii="宋体" w:hAnsi="宋体" w:eastAsia="宋体" w:cs="Times New Roman"/>
          <w:sz w:val="28"/>
          <w:szCs w:val="28"/>
        </w:rPr>
        <w:t>单及时响应率：是指电子商务物流服务商对逆向物流</w:t>
      </w:r>
      <w:r>
        <w:rPr>
          <w:rFonts w:hint="eastAsia" w:ascii="宋体" w:hAnsi="宋体" w:eastAsia="宋体" w:cs="Times New Roman"/>
          <w:sz w:val="28"/>
          <w:szCs w:val="28"/>
        </w:rPr>
        <w:t>订</w:t>
      </w:r>
      <w:r>
        <w:rPr>
          <w:rFonts w:ascii="宋体" w:hAnsi="宋体" w:eastAsia="宋体" w:cs="Times New Roman"/>
          <w:sz w:val="28"/>
          <w:szCs w:val="28"/>
        </w:rPr>
        <w:t>单的响应速度，反映了企业及时接单的业务能力</w:t>
      </w:r>
      <w:r>
        <w:rPr>
          <w:rFonts w:hint="eastAsia" w:ascii="宋体" w:hAnsi="宋体" w:eastAsia="宋体" w:cs="Times New Roman"/>
          <w:sz w:val="28"/>
          <w:szCs w:val="28"/>
        </w:rPr>
        <w:t>；</w:t>
      </w:r>
    </w:p>
    <w:p>
      <w:pPr>
        <w:spacing w:line="360" w:lineRule="auto"/>
        <w:ind w:firstLine="560" w:firstLineChars="200"/>
        <w:textAlignment w:val="baseline"/>
        <w:rPr>
          <w:rFonts w:ascii="宋体" w:hAnsi="宋体" w:eastAsia="宋体" w:cs="Times New Roman"/>
          <w:sz w:val="28"/>
          <w:szCs w:val="28"/>
        </w:rPr>
      </w:pPr>
      <w:r>
        <w:rPr>
          <w:rFonts w:ascii="宋体" w:hAnsi="宋体" w:eastAsia="宋体" w:cs="Times New Roman"/>
          <w:sz w:val="28"/>
          <w:szCs w:val="28"/>
        </w:rPr>
        <w:t>逆向物流</w:t>
      </w:r>
      <w:r>
        <w:rPr>
          <w:rFonts w:hint="eastAsia" w:ascii="宋体" w:hAnsi="宋体" w:eastAsia="宋体" w:cs="Times New Roman"/>
          <w:sz w:val="28"/>
          <w:szCs w:val="28"/>
        </w:rPr>
        <w:t>订</w:t>
      </w:r>
      <w:r>
        <w:rPr>
          <w:rFonts w:ascii="宋体" w:hAnsi="宋体" w:eastAsia="宋体" w:cs="Times New Roman"/>
          <w:sz w:val="28"/>
          <w:szCs w:val="28"/>
        </w:rPr>
        <w:t>单及时处理率：指逆向物流</w:t>
      </w:r>
      <w:r>
        <w:rPr>
          <w:rFonts w:hint="eastAsia" w:ascii="宋体" w:hAnsi="宋体" w:eastAsia="宋体" w:cs="Times New Roman"/>
          <w:sz w:val="28"/>
          <w:szCs w:val="28"/>
        </w:rPr>
        <w:t>订</w:t>
      </w:r>
      <w:r>
        <w:rPr>
          <w:rFonts w:ascii="宋体" w:hAnsi="宋体" w:eastAsia="宋体" w:cs="Times New Roman"/>
          <w:sz w:val="28"/>
          <w:szCs w:val="28"/>
        </w:rPr>
        <w:t>单实际得到处理闭环的情况，闭环情况包括再次销售（包括降级销售）、维修、销毁、返回给消费者等操作</w:t>
      </w:r>
      <w:r>
        <w:rPr>
          <w:rFonts w:hint="eastAsia" w:ascii="宋体" w:hAnsi="宋体" w:eastAsia="宋体" w:cs="Times New Roman"/>
          <w:sz w:val="28"/>
          <w:szCs w:val="28"/>
        </w:rPr>
        <w:t>；</w:t>
      </w:r>
    </w:p>
    <w:p>
      <w:pPr>
        <w:spacing w:line="360" w:lineRule="auto"/>
        <w:ind w:firstLine="560" w:firstLineChars="200"/>
        <w:textAlignment w:val="baseline"/>
        <w:rPr>
          <w:rFonts w:ascii="宋体" w:hAnsi="宋体" w:eastAsia="宋体" w:cs="Times New Roman"/>
          <w:sz w:val="28"/>
          <w:szCs w:val="28"/>
        </w:rPr>
      </w:pPr>
      <w:r>
        <w:rPr>
          <w:rFonts w:ascii="宋体" w:hAnsi="宋体" w:eastAsia="宋体" w:cs="Times New Roman"/>
          <w:sz w:val="28"/>
          <w:szCs w:val="28"/>
        </w:rPr>
        <w:t>货损率：指返货（非瑕疵返货）</w:t>
      </w:r>
      <w:r>
        <w:rPr>
          <w:rFonts w:hint="eastAsia" w:ascii="宋体" w:hAnsi="宋体" w:eastAsia="宋体" w:cs="Times New Roman"/>
          <w:sz w:val="28"/>
          <w:szCs w:val="28"/>
          <w:lang w:val="en-US" w:eastAsia="zh-CN"/>
        </w:rPr>
        <w:t>在逆向物流服务过程中</w:t>
      </w:r>
      <w:r>
        <w:rPr>
          <w:rFonts w:ascii="宋体" w:hAnsi="宋体" w:eastAsia="宋体" w:cs="Times New Roman"/>
          <w:sz w:val="28"/>
          <w:szCs w:val="28"/>
        </w:rPr>
        <w:t>造成的货损情况</w:t>
      </w:r>
      <w:r>
        <w:rPr>
          <w:rFonts w:hint="eastAsia" w:ascii="宋体" w:hAnsi="宋体" w:eastAsia="宋体" w:cs="Times New Roman"/>
          <w:sz w:val="28"/>
          <w:szCs w:val="28"/>
        </w:rPr>
        <w:t>；</w:t>
      </w:r>
    </w:p>
    <w:p>
      <w:pPr>
        <w:spacing w:line="360" w:lineRule="auto"/>
        <w:ind w:firstLine="560" w:firstLineChars="200"/>
        <w:textAlignment w:val="baseline"/>
        <w:rPr>
          <w:rFonts w:hint="eastAsia" w:ascii="宋体" w:hAnsi="宋体" w:eastAsia="宋体" w:cs="Times New Roman"/>
          <w:sz w:val="28"/>
          <w:szCs w:val="28"/>
        </w:rPr>
      </w:pPr>
      <w:r>
        <w:rPr>
          <w:rFonts w:ascii="宋体" w:hAnsi="宋体" w:eastAsia="宋体" w:cs="Times New Roman"/>
          <w:sz w:val="28"/>
          <w:szCs w:val="28"/>
        </w:rPr>
        <w:t>逆向物流服务质量满意</w:t>
      </w:r>
      <w:r>
        <w:rPr>
          <w:rFonts w:hint="eastAsia" w:ascii="宋体" w:hAnsi="宋体" w:eastAsia="宋体" w:cs="Times New Roman"/>
          <w:sz w:val="28"/>
          <w:szCs w:val="28"/>
        </w:rPr>
        <w:t>率</w:t>
      </w:r>
      <w:r>
        <w:rPr>
          <w:rFonts w:ascii="宋体" w:hAnsi="宋体" w:eastAsia="宋体" w:cs="Times New Roman"/>
          <w:sz w:val="28"/>
          <w:szCs w:val="28"/>
        </w:rPr>
        <w:t>：是指从逆向物流维度，消费者对逆向物流服务订单进行评价。综合考虑逆向物流时效、价格、地点等因素</w:t>
      </w:r>
      <w:r>
        <w:rPr>
          <w:rFonts w:hint="eastAsia" w:ascii="宋体" w:hAnsi="宋体" w:eastAsia="宋体" w:cs="Times New Roman"/>
          <w:sz w:val="28"/>
          <w:szCs w:val="28"/>
        </w:rPr>
        <w:t>。</w:t>
      </w:r>
    </w:p>
    <w:p>
      <w:pPr>
        <w:spacing w:line="360" w:lineRule="auto"/>
        <w:ind w:firstLine="560" w:firstLineChars="200"/>
        <w:textAlignment w:val="baseline"/>
        <w:rPr>
          <w:rFonts w:hint="eastAsia" w:ascii="宋体" w:hAnsi="宋体" w:eastAsia="宋体" w:cs="Times New Roman"/>
          <w:sz w:val="28"/>
          <w:szCs w:val="28"/>
          <w:lang w:val="en-US" w:eastAsia="zh-CN"/>
        </w:rPr>
      </w:pPr>
      <w:r>
        <w:rPr>
          <w:rFonts w:ascii="宋体" w:hAnsi="宋体" w:eastAsia="宋体" w:cs="Times New Roman"/>
          <w:sz w:val="28"/>
          <w:szCs w:val="28"/>
        </w:rPr>
        <w:t>投诉</w:t>
      </w:r>
      <w:r>
        <w:rPr>
          <w:rFonts w:hint="eastAsia" w:ascii="宋体" w:hAnsi="宋体" w:eastAsia="宋体" w:cs="Times New Roman"/>
          <w:sz w:val="28"/>
          <w:szCs w:val="28"/>
          <w:lang w:val="en-US" w:eastAsia="zh-CN"/>
        </w:rPr>
        <w:t>处理办结</w:t>
      </w:r>
      <w:r>
        <w:rPr>
          <w:rFonts w:ascii="宋体" w:hAnsi="宋体" w:eastAsia="宋体" w:cs="Times New Roman"/>
          <w:sz w:val="28"/>
          <w:szCs w:val="28"/>
        </w:rPr>
        <w:t>率：指在开展逆向物流服务过程中被消费者投诉</w:t>
      </w:r>
      <w:r>
        <w:rPr>
          <w:rFonts w:hint="eastAsia" w:ascii="宋体" w:hAnsi="宋体" w:eastAsia="宋体" w:cs="Times New Roman"/>
          <w:sz w:val="28"/>
          <w:szCs w:val="28"/>
          <w:lang w:val="en-US" w:eastAsia="zh-CN"/>
        </w:rPr>
        <w:t>后处理的情况。</w:t>
      </w:r>
    </w:p>
    <w:p>
      <w:pPr>
        <w:spacing w:line="360" w:lineRule="auto"/>
        <w:ind w:firstLine="560" w:firstLineChars="200"/>
        <w:textAlignment w:val="baseline"/>
        <w:rPr>
          <w:rFonts w:ascii="宋体" w:hAnsi="宋体" w:eastAsia="宋体" w:cs="Times New Roman"/>
          <w:sz w:val="28"/>
          <w:szCs w:val="28"/>
        </w:rPr>
      </w:pPr>
      <w:r>
        <w:rPr>
          <w:rFonts w:hint="eastAsia" w:ascii="宋体" w:hAnsi="宋体" w:eastAsia="宋体" w:cs="Times New Roman"/>
          <w:sz w:val="28"/>
          <w:szCs w:val="28"/>
        </w:rPr>
        <w:t>指标设定参考了GB/T 24359-2021《第三方物流服务质量及测评》</w:t>
      </w:r>
      <w:r>
        <w:rPr>
          <w:rFonts w:hint="eastAsia" w:ascii="宋体" w:hAnsi="宋体" w:eastAsia="宋体" w:cs="Times New Roman"/>
          <w:sz w:val="28"/>
          <w:szCs w:val="28"/>
          <w:lang w:val="en-US" w:eastAsia="zh-CN"/>
        </w:rPr>
        <w:t>和京东逆向物流服务质量指标</w:t>
      </w:r>
      <w:r>
        <w:rPr>
          <w:rFonts w:hint="eastAsia" w:ascii="宋体" w:hAnsi="宋体" w:eastAsia="宋体" w:cs="Times New Roman"/>
          <w:sz w:val="28"/>
          <w:szCs w:val="28"/>
          <w:lang w:eastAsia="zh-CN"/>
        </w:rPr>
        <w:t>。</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六、重大意见分歧的处理经过和依据</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七、采标情况</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八、与现行法律、法规和强制性国家标准的关系</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本标准符合现行相关法律、法规的规定，与现有标准和制定中的标准，特别是强制性标准无冲突之处。</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 xml:space="preserve">九、宣贯及实施建议 </w:t>
      </w:r>
    </w:p>
    <w:p>
      <w:pPr>
        <w:snapToGri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（一）宣贯认知阶段</w:t>
      </w:r>
    </w:p>
    <w:p>
      <w:pPr>
        <w:snapToGri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宣贯认知目的在于推动本标准在行业内普及与认知。本阶段主要工作为编写标准宣讲文件，并通过标准发布会进行专题推介，举办2-3次标准宣讲会、培训会等形式，对标准进行宣贯和推广，开展相关培训等。</w:t>
      </w:r>
    </w:p>
    <w:p>
      <w:pPr>
        <w:snapToGri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（二）企业试点阶段</w:t>
      </w:r>
    </w:p>
    <w:p>
      <w:pPr>
        <w:snapToGri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完成宣贯认知阶段后，本标准将推行标准试点工作。以跟踪、调查、汇总标准实施情况，分析标准对行业、企业和社会的贡献率，分析标准对物流行业及回收行业的规范带动作用。</w:t>
      </w:r>
    </w:p>
    <w:p>
      <w:pPr>
        <w:snapToGri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结合标准试点的实际情况，不定期召开研讨会等交流活动，组织召开工作会议以及标准审查会议等工作组会议。提出标准化工作改进措施，调整工作方向，支持标准化制修订工作进一步开展。</w:t>
      </w:r>
    </w:p>
    <w:p>
      <w:pPr>
        <w:snapToGri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（三）推广阶段</w:t>
      </w:r>
    </w:p>
    <w:p>
      <w:pPr>
        <w:snapToGri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本阶段编制组将总结前两个阶段的成果，并对标准编制说明和宣贯文件再次完善，并通过各项活动在全国推广标准。</w:t>
      </w:r>
    </w:p>
    <w:p>
      <w:pPr>
        <w:snapToGri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不定期举办物流标准宣贯培训、强化对相关企业的标准化技术支撑能力建设；利用网站、公众号等媒体宣传渠道，扩大标准的影响力；录制标准实施的管理、作业和宣传视频；形成标杆企业进行推广，探索更加有效的标准宣贯机制。</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 xml:space="preserve">十、其他应予说明的事项 </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p>
    <w:p>
      <w:pPr>
        <w:spacing w:line="400" w:lineRule="exact"/>
        <w:ind w:firstLine="560" w:firstLineChars="200"/>
        <w:jc w:val="righ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《电商务逆向物流通用服务规范》</w:t>
      </w:r>
    </w:p>
    <w:p>
      <w:pPr>
        <w:spacing w:line="400" w:lineRule="exact"/>
        <w:ind w:firstLine="560" w:firstLineChars="200"/>
        <w:jc w:val="righ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国家标准起草组</w:t>
      </w:r>
    </w:p>
    <w:p>
      <w:pPr>
        <w:spacing w:line="400" w:lineRule="exact"/>
        <w:ind w:firstLine="4620" w:firstLineChars="1650"/>
        <w:jc w:val="right"/>
        <w:rPr>
          <w:rFonts w:ascii="黑体" w:hAnsi="黑体" w:eastAsia="黑体" w:cs="黑体"/>
          <w:color w:val="000000" w:themeColor="text1"/>
          <w:sz w:val="28"/>
          <w:szCs w:val="28"/>
          <w14:textFill>
            <w14:solidFill>
              <w14:schemeClr w14:val="tx1"/>
            </w14:solidFill>
          </w14:textFill>
        </w:rPr>
      </w:pPr>
      <w:bookmarkStart w:id="0" w:name="_Toc415095846"/>
      <w:bookmarkEnd w:id="0"/>
      <w:bookmarkStart w:id="1" w:name="_Toc415096411"/>
      <w:bookmarkEnd w:id="1"/>
      <w:r>
        <w:rPr>
          <w:rFonts w:hint="eastAsia" w:ascii="黑体" w:hAnsi="黑体" w:eastAsia="黑体" w:cs="黑体"/>
          <w:color w:val="000000" w:themeColor="text1"/>
          <w:sz w:val="28"/>
          <w:szCs w:val="28"/>
          <w14:textFill>
            <w14:solidFill>
              <w14:schemeClr w14:val="tx1"/>
            </w14:solidFill>
          </w14:textFill>
        </w:rPr>
        <w:t>202</w:t>
      </w:r>
      <w:r>
        <w:rPr>
          <w:rFonts w:ascii="黑体" w:hAnsi="黑体" w:eastAsia="黑体" w:cs="黑体"/>
          <w:color w:val="000000" w:themeColor="text1"/>
          <w:sz w:val="28"/>
          <w:szCs w:val="28"/>
          <w14:textFill>
            <w14:solidFill>
              <w14:schemeClr w14:val="tx1"/>
            </w14:solidFill>
          </w14:textFill>
        </w:rPr>
        <w:t>2</w:t>
      </w:r>
      <w:r>
        <w:rPr>
          <w:rFonts w:hint="eastAsia" w:ascii="黑体" w:hAnsi="黑体" w:eastAsia="黑体" w:cs="黑体"/>
          <w:color w:val="000000" w:themeColor="text1"/>
          <w:sz w:val="28"/>
          <w:szCs w:val="28"/>
          <w14:textFill>
            <w14:solidFill>
              <w14:schemeClr w14:val="tx1"/>
            </w14:solidFill>
          </w14:textFill>
        </w:rPr>
        <w:t>年</w:t>
      </w:r>
      <w:r>
        <w:rPr>
          <w:rFonts w:ascii="黑体" w:hAnsi="黑体" w:eastAsia="黑体" w:cs="黑体"/>
          <w:color w:val="000000" w:themeColor="text1"/>
          <w:sz w:val="28"/>
          <w:szCs w:val="28"/>
          <w14:textFill>
            <w14:solidFill>
              <w14:schemeClr w14:val="tx1"/>
            </w14:solidFill>
          </w14:textFill>
        </w:rPr>
        <w:t>1</w:t>
      </w:r>
      <w:r>
        <w:rPr>
          <w:rFonts w:hint="eastAsia" w:ascii="黑体" w:hAnsi="黑体" w:eastAsia="黑体" w:cs="黑体"/>
          <w:color w:val="000000" w:themeColor="text1"/>
          <w:sz w:val="28"/>
          <w:szCs w:val="28"/>
          <w14:textFill>
            <w14:solidFill>
              <w14:schemeClr w14:val="tx1"/>
            </w14:solidFill>
          </w14:textFill>
        </w:rPr>
        <w:t>2月</w:t>
      </w:r>
      <w:r>
        <w:rPr>
          <w:rFonts w:hint="eastAsia" w:ascii="黑体" w:hAnsi="黑体" w:eastAsia="黑体" w:cs="黑体"/>
          <w:color w:val="000000" w:themeColor="text1"/>
          <w:sz w:val="28"/>
          <w:szCs w:val="28"/>
          <w:lang w:val="en-US" w:eastAsia="zh-CN"/>
          <w14:textFill>
            <w14:solidFill>
              <w14:schemeClr w14:val="tx1"/>
            </w14:solidFill>
          </w14:textFill>
        </w:rPr>
        <w:t>13</w:t>
      </w:r>
      <w:r>
        <w:rPr>
          <w:rFonts w:hint="eastAsia" w:ascii="黑体" w:hAnsi="黑体" w:eastAsia="黑体" w:cs="黑体"/>
          <w:color w:val="000000" w:themeColor="text1"/>
          <w:sz w:val="28"/>
          <w:szCs w:val="28"/>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B6435C"/>
    <w:multiLevelType w:val="singleLevel"/>
    <w:tmpl w:val="69B6435C"/>
    <w:lvl w:ilvl="0" w:tentative="0">
      <w:start w:val="1"/>
      <w:numFmt w:val="decimal"/>
      <w:lvlText w:val="%1."/>
      <w:lvlJc w:val="left"/>
      <w:pPr>
        <w:ind w:left="567" w:hanging="425"/>
      </w:pPr>
      <w:rPr>
        <w:rFonts w:hint="default"/>
      </w:rPr>
    </w:lvl>
  </w:abstractNum>
  <w:abstractNum w:abstractNumId="1">
    <w:nsid w:val="6CEA2025"/>
    <w:multiLevelType w:val="multilevel"/>
    <w:tmpl w:val="6CEA2025"/>
    <w:lvl w:ilvl="0" w:tentative="0">
      <w:start w:val="1"/>
      <w:numFmt w:val="none"/>
      <w:pStyle w:val="23"/>
      <w:suff w:val="nothing"/>
      <w:lvlText w:val="%1"/>
      <w:lvlJc w:val="left"/>
      <w:pPr>
        <w:ind w:left="0" w:firstLine="0"/>
      </w:pPr>
      <w:rPr>
        <w:rFonts w:hint="eastAsia"/>
      </w:rPr>
    </w:lvl>
    <w:lvl w:ilvl="1" w:tentative="0">
      <w:start w:val="1"/>
      <w:numFmt w:val="decimal"/>
      <w:pStyle w:val="21"/>
      <w:suff w:val="nothing"/>
      <w:lvlText w:val="%1%2　"/>
      <w:lvlJc w:val="left"/>
      <w:pPr>
        <w:ind w:left="0" w:firstLine="0"/>
      </w:pPr>
      <w:rPr>
        <w:rFonts w:hint="eastAsia" w:ascii="黑体" w:eastAsia="黑体"/>
        <w:b w:val="0"/>
        <w:i w:val="0"/>
        <w:sz w:val="21"/>
      </w:rPr>
    </w:lvl>
    <w:lvl w:ilvl="2" w:tentative="0">
      <w:start w:val="1"/>
      <w:numFmt w:val="decimal"/>
      <w:pStyle w:val="22"/>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17"/>
      <w:suff w:val="nothing"/>
      <w:lvlText w:val="%1%2.%3.%4　"/>
      <w:lvlJc w:val="left"/>
      <w:pPr>
        <w:ind w:left="141" w:firstLine="0"/>
      </w:pPr>
      <w:rPr>
        <w:rFonts w:hint="eastAsia" w:ascii="黑体" w:eastAsia="黑体"/>
        <w:b w:val="0"/>
        <w:i w:val="0"/>
        <w:strike w:val="0"/>
        <w:sz w:val="21"/>
      </w:rPr>
    </w:lvl>
    <w:lvl w:ilvl="4" w:tentative="0">
      <w:start w:val="1"/>
      <w:numFmt w:val="decimal"/>
      <w:pStyle w:val="18"/>
      <w:suff w:val="nothing"/>
      <w:lvlText w:val="%1%2.%3.%4.%5　"/>
      <w:lvlJc w:val="left"/>
      <w:pPr>
        <w:ind w:left="0" w:firstLine="0"/>
      </w:pPr>
      <w:rPr>
        <w:rFonts w:hint="eastAsia" w:ascii="黑体" w:eastAsia="黑体"/>
        <w:b w:val="0"/>
        <w:i w:val="0"/>
        <w:sz w:val="21"/>
      </w:rPr>
    </w:lvl>
    <w:lvl w:ilvl="5" w:tentative="0">
      <w:start w:val="1"/>
      <w:numFmt w:val="decimal"/>
      <w:pStyle w:val="19"/>
      <w:suff w:val="nothing"/>
      <w:lvlText w:val="%1%2.%3.%4.%5.%6　"/>
      <w:lvlJc w:val="left"/>
      <w:pPr>
        <w:ind w:left="0" w:firstLine="0"/>
      </w:pPr>
      <w:rPr>
        <w:rFonts w:hint="eastAsia" w:ascii="黑体" w:eastAsia="黑体"/>
        <w:b w:val="0"/>
        <w:i w:val="0"/>
        <w:sz w:val="21"/>
      </w:rPr>
    </w:lvl>
    <w:lvl w:ilvl="6" w:tentative="0">
      <w:start w:val="1"/>
      <w:numFmt w:val="decimal"/>
      <w:pStyle w:val="20"/>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iMzU2NjY2ZmYxOWNmMWYyMWI1NTQ1OGQ4MDQ5ZjcifQ=="/>
  </w:docVars>
  <w:rsids>
    <w:rsidRoot w:val="00B01537"/>
    <w:rsid w:val="000005DF"/>
    <w:rsid w:val="00002A3B"/>
    <w:rsid w:val="00007D4E"/>
    <w:rsid w:val="000103DA"/>
    <w:rsid w:val="00011B8C"/>
    <w:rsid w:val="00012F34"/>
    <w:rsid w:val="00014410"/>
    <w:rsid w:val="0001574D"/>
    <w:rsid w:val="00015E17"/>
    <w:rsid w:val="00022457"/>
    <w:rsid w:val="0002770A"/>
    <w:rsid w:val="00027744"/>
    <w:rsid w:val="00035080"/>
    <w:rsid w:val="000353C1"/>
    <w:rsid w:val="00037092"/>
    <w:rsid w:val="00037602"/>
    <w:rsid w:val="0004214B"/>
    <w:rsid w:val="000453F4"/>
    <w:rsid w:val="0004598A"/>
    <w:rsid w:val="00050770"/>
    <w:rsid w:val="000611DE"/>
    <w:rsid w:val="000649F4"/>
    <w:rsid w:val="00066ED4"/>
    <w:rsid w:val="00071FF0"/>
    <w:rsid w:val="00077519"/>
    <w:rsid w:val="00077F44"/>
    <w:rsid w:val="00081E5C"/>
    <w:rsid w:val="00083C52"/>
    <w:rsid w:val="00090F57"/>
    <w:rsid w:val="00091507"/>
    <w:rsid w:val="00094263"/>
    <w:rsid w:val="000942B3"/>
    <w:rsid w:val="00096641"/>
    <w:rsid w:val="000A58A1"/>
    <w:rsid w:val="000B3497"/>
    <w:rsid w:val="000B6DCA"/>
    <w:rsid w:val="000B77EF"/>
    <w:rsid w:val="000C0F8C"/>
    <w:rsid w:val="000C3735"/>
    <w:rsid w:val="000C5551"/>
    <w:rsid w:val="000D4F75"/>
    <w:rsid w:val="000D59B8"/>
    <w:rsid w:val="000D6082"/>
    <w:rsid w:val="000E0884"/>
    <w:rsid w:val="000E0B82"/>
    <w:rsid w:val="000E1E3C"/>
    <w:rsid w:val="000E200B"/>
    <w:rsid w:val="000E2091"/>
    <w:rsid w:val="000F6E2B"/>
    <w:rsid w:val="001006D7"/>
    <w:rsid w:val="0010773A"/>
    <w:rsid w:val="001104AD"/>
    <w:rsid w:val="00112BC0"/>
    <w:rsid w:val="0011368D"/>
    <w:rsid w:val="001159A0"/>
    <w:rsid w:val="00123DFB"/>
    <w:rsid w:val="00123FD8"/>
    <w:rsid w:val="001247D7"/>
    <w:rsid w:val="00126EB3"/>
    <w:rsid w:val="0012754D"/>
    <w:rsid w:val="00133CD0"/>
    <w:rsid w:val="00134A0A"/>
    <w:rsid w:val="00137C3A"/>
    <w:rsid w:val="00142DAF"/>
    <w:rsid w:val="00144348"/>
    <w:rsid w:val="00147F3A"/>
    <w:rsid w:val="00150F1B"/>
    <w:rsid w:val="00154B7C"/>
    <w:rsid w:val="00154FFF"/>
    <w:rsid w:val="0015584B"/>
    <w:rsid w:val="001600C1"/>
    <w:rsid w:val="00160D0F"/>
    <w:rsid w:val="0016473E"/>
    <w:rsid w:val="00164854"/>
    <w:rsid w:val="00170A6B"/>
    <w:rsid w:val="00171A82"/>
    <w:rsid w:val="001728B4"/>
    <w:rsid w:val="00173F0B"/>
    <w:rsid w:val="001750C8"/>
    <w:rsid w:val="00175116"/>
    <w:rsid w:val="00181FFB"/>
    <w:rsid w:val="00186B04"/>
    <w:rsid w:val="00192722"/>
    <w:rsid w:val="00197096"/>
    <w:rsid w:val="001A3916"/>
    <w:rsid w:val="001A6D1B"/>
    <w:rsid w:val="001B1D8C"/>
    <w:rsid w:val="001B3860"/>
    <w:rsid w:val="001B46DB"/>
    <w:rsid w:val="001B5C28"/>
    <w:rsid w:val="001B6101"/>
    <w:rsid w:val="001B7DEC"/>
    <w:rsid w:val="001C1D4E"/>
    <w:rsid w:val="001C318C"/>
    <w:rsid w:val="001C4E40"/>
    <w:rsid w:val="001C4FC6"/>
    <w:rsid w:val="001C52FD"/>
    <w:rsid w:val="001C6AF8"/>
    <w:rsid w:val="001D44B7"/>
    <w:rsid w:val="001D4ED6"/>
    <w:rsid w:val="001E0979"/>
    <w:rsid w:val="001E3495"/>
    <w:rsid w:val="001E3AD4"/>
    <w:rsid w:val="001E495D"/>
    <w:rsid w:val="001E5429"/>
    <w:rsid w:val="001E6696"/>
    <w:rsid w:val="001E6B71"/>
    <w:rsid w:val="001E7D0B"/>
    <w:rsid w:val="001F2C70"/>
    <w:rsid w:val="001F789F"/>
    <w:rsid w:val="00202023"/>
    <w:rsid w:val="0020271E"/>
    <w:rsid w:val="00203B08"/>
    <w:rsid w:val="0020496F"/>
    <w:rsid w:val="00206CD7"/>
    <w:rsid w:val="002151D8"/>
    <w:rsid w:val="00217085"/>
    <w:rsid w:val="00217613"/>
    <w:rsid w:val="00217F62"/>
    <w:rsid w:val="0022205E"/>
    <w:rsid w:val="00222806"/>
    <w:rsid w:val="00233447"/>
    <w:rsid w:val="002347B8"/>
    <w:rsid w:val="00240E33"/>
    <w:rsid w:val="00240E87"/>
    <w:rsid w:val="0024400C"/>
    <w:rsid w:val="00250260"/>
    <w:rsid w:val="002557DF"/>
    <w:rsid w:val="002627E3"/>
    <w:rsid w:val="002636C9"/>
    <w:rsid w:val="00267D05"/>
    <w:rsid w:val="00271FAF"/>
    <w:rsid w:val="0027265F"/>
    <w:rsid w:val="002759E6"/>
    <w:rsid w:val="00277D3D"/>
    <w:rsid w:val="002806F8"/>
    <w:rsid w:val="002812CC"/>
    <w:rsid w:val="00281804"/>
    <w:rsid w:val="00283F84"/>
    <w:rsid w:val="00285CD4"/>
    <w:rsid w:val="00291872"/>
    <w:rsid w:val="002A1674"/>
    <w:rsid w:val="002A4590"/>
    <w:rsid w:val="002A4E8C"/>
    <w:rsid w:val="002A52CE"/>
    <w:rsid w:val="002A71BE"/>
    <w:rsid w:val="002C098D"/>
    <w:rsid w:val="002C6426"/>
    <w:rsid w:val="002D0DC0"/>
    <w:rsid w:val="002D317F"/>
    <w:rsid w:val="002D45EE"/>
    <w:rsid w:val="002D6D33"/>
    <w:rsid w:val="002E28AD"/>
    <w:rsid w:val="002E48BB"/>
    <w:rsid w:val="002E5984"/>
    <w:rsid w:val="002F0FCB"/>
    <w:rsid w:val="002F1FB8"/>
    <w:rsid w:val="002F3542"/>
    <w:rsid w:val="002F3D69"/>
    <w:rsid w:val="002F4F16"/>
    <w:rsid w:val="003001C4"/>
    <w:rsid w:val="0030073E"/>
    <w:rsid w:val="00301FC3"/>
    <w:rsid w:val="00304C06"/>
    <w:rsid w:val="00304F80"/>
    <w:rsid w:val="00310A17"/>
    <w:rsid w:val="00310A82"/>
    <w:rsid w:val="00310C3B"/>
    <w:rsid w:val="00311184"/>
    <w:rsid w:val="00312E17"/>
    <w:rsid w:val="003168FA"/>
    <w:rsid w:val="00316A6E"/>
    <w:rsid w:val="0032100F"/>
    <w:rsid w:val="00321BE6"/>
    <w:rsid w:val="00324070"/>
    <w:rsid w:val="00332F5C"/>
    <w:rsid w:val="00334445"/>
    <w:rsid w:val="00334D4C"/>
    <w:rsid w:val="00340E82"/>
    <w:rsid w:val="00341479"/>
    <w:rsid w:val="00341C96"/>
    <w:rsid w:val="00344890"/>
    <w:rsid w:val="003464AF"/>
    <w:rsid w:val="00347150"/>
    <w:rsid w:val="003513C7"/>
    <w:rsid w:val="003558EC"/>
    <w:rsid w:val="00361F4D"/>
    <w:rsid w:val="00364BEC"/>
    <w:rsid w:val="003678C6"/>
    <w:rsid w:val="00367E73"/>
    <w:rsid w:val="0037002A"/>
    <w:rsid w:val="00371A09"/>
    <w:rsid w:val="00371F56"/>
    <w:rsid w:val="00372C00"/>
    <w:rsid w:val="00375C0F"/>
    <w:rsid w:val="003762D6"/>
    <w:rsid w:val="00377C5F"/>
    <w:rsid w:val="00385BC6"/>
    <w:rsid w:val="00386452"/>
    <w:rsid w:val="00390BE8"/>
    <w:rsid w:val="003912A4"/>
    <w:rsid w:val="0039214F"/>
    <w:rsid w:val="00392957"/>
    <w:rsid w:val="00393D10"/>
    <w:rsid w:val="00394A8B"/>
    <w:rsid w:val="00394E2D"/>
    <w:rsid w:val="003A10C6"/>
    <w:rsid w:val="003A214D"/>
    <w:rsid w:val="003A4850"/>
    <w:rsid w:val="003A4EAE"/>
    <w:rsid w:val="003A55AD"/>
    <w:rsid w:val="003B0271"/>
    <w:rsid w:val="003B1505"/>
    <w:rsid w:val="003C4673"/>
    <w:rsid w:val="003C5A5A"/>
    <w:rsid w:val="003D3090"/>
    <w:rsid w:val="003D3656"/>
    <w:rsid w:val="003D5B28"/>
    <w:rsid w:val="003D601F"/>
    <w:rsid w:val="003D7AD5"/>
    <w:rsid w:val="003E1415"/>
    <w:rsid w:val="003E1D31"/>
    <w:rsid w:val="003E1FCD"/>
    <w:rsid w:val="003E68BC"/>
    <w:rsid w:val="003F05A7"/>
    <w:rsid w:val="003F10A4"/>
    <w:rsid w:val="003F1543"/>
    <w:rsid w:val="003F20D8"/>
    <w:rsid w:val="003F3084"/>
    <w:rsid w:val="003F3E88"/>
    <w:rsid w:val="00401139"/>
    <w:rsid w:val="0040161B"/>
    <w:rsid w:val="00403989"/>
    <w:rsid w:val="00404452"/>
    <w:rsid w:val="0040458B"/>
    <w:rsid w:val="004047CB"/>
    <w:rsid w:val="0040795B"/>
    <w:rsid w:val="00407E88"/>
    <w:rsid w:val="00411C0F"/>
    <w:rsid w:val="0041274C"/>
    <w:rsid w:val="004171EF"/>
    <w:rsid w:val="0042088A"/>
    <w:rsid w:val="00422645"/>
    <w:rsid w:val="004234AD"/>
    <w:rsid w:val="004279FA"/>
    <w:rsid w:val="00430475"/>
    <w:rsid w:val="004340B9"/>
    <w:rsid w:val="004373DF"/>
    <w:rsid w:val="004424A0"/>
    <w:rsid w:val="004478DE"/>
    <w:rsid w:val="00452AB6"/>
    <w:rsid w:val="00457FCA"/>
    <w:rsid w:val="004651F1"/>
    <w:rsid w:val="0047465B"/>
    <w:rsid w:val="00475869"/>
    <w:rsid w:val="00476E4D"/>
    <w:rsid w:val="00477440"/>
    <w:rsid w:val="00480E37"/>
    <w:rsid w:val="0048409A"/>
    <w:rsid w:val="0048470E"/>
    <w:rsid w:val="00485DCC"/>
    <w:rsid w:val="00486BC7"/>
    <w:rsid w:val="004937B3"/>
    <w:rsid w:val="00493E80"/>
    <w:rsid w:val="00497826"/>
    <w:rsid w:val="004A0297"/>
    <w:rsid w:val="004A390B"/>
    <w:rsid w:val="004A5E4C"/>
    <w:rsid w:val="004A770D"/>
    <w:rsid w:val="004B2869"/>
    <w:rsid w:val="004B2E42"/>
    <w:rsid w:val="004B5EF3"/>
    <w:rsid w:val="004B721F"/>
    <w:rsid w:val="004B7EB9"/>
    <w:rsid w:val="004C0243"/>
    <w:rsid w:val="004C0561"/>
    <w:rsid w:val="004C124A"/>
    <w:rsid w:val="004C4CD2"/>
    <w:rsid w:val="004C5A61"/>
    <w:rsid w:val="004C6546"/>
    <w:rsid w:val="004C72E9"/>
    <w:rsid w:val="004D1663"/>
    <w:rsid w:val="004D24C2"/>
    <w:rsid w:val="004D7522"/>
    <w:rsid w:val="004D75A0"/>
    <w:rsid w:val="004E0F50"/>
    <w:rsid w:val="004E5106"/>
    <w:rsid w:val="004E60BC"/>
    <w:rsid w:val="004E6F00"/>
    <w:rsid w:val="004F00AC"/>
    <w:rsid w:val="004F10DF"/>
    <w:rsid w:val="004F1EDE"/>
    <w:rsid w:val="004F3021"/>
    <w:rsid w:val="004F68F4"/>
    <w:rsid w:val="00500150"/>
    <w:rsid w:val="005004FC"/>
    <w:rsid w:val="00507D3E"/>
    <w:rsid w:val="00510B12"/>
    <w:rsid w:val="00511824"/>
    <w:rsid w:val="005177B8"/>
    <w:rsid w:val="00522D2A"/>
    <w:rsid w:val="0052520B"/>
    <w:rsid w:val="0053034C"/>
    <w:rsid w:val="00530D29"/>
    <w:rsid w:val="00534F5D"/>
    <w:rsid w:val="00535E1D"/>
    <w:rsid w:val="00536D8A"/>
    <w:rsid w:val="00537F83"/>
    <w:rsid w:val="00544296"/>
    <w:rsid w:val="005449E6"/>
    <w:rsid w:val="00545C84"/>
    <w:rsid w:val="00547D0C"/>
    <w:rsid w:val="005533B7"/>
    <w:rsid w:val="0055560C"/>
    <w:rsid w:val="005558CC"/>
    <w:rsid w:val="00570EEA"/>
    <w:rsid w:val="00574A97"/>
    <w:rsid w:val="0057518B"/>
    <w:rsid w:val="00575302"/>
    <w:rsid w:val="00577E9B"/>
    <w:rsid w:val="0058047F"/>
    <w:rsid w:val="005826E0"/>
    <w:rsid w:val="00582A65"/>
    <w:rsid w:val="00584E39"/>
    <w:rsid w:val="005871D5"/>
    <w:rsid w:val="005876EF"/>
    <w:rsid w:val="00592B05"/>
    <w:rsid w:val="005937E2"/>
    <w:rsid w:val="005948B3"/>
    <w:rsid w:val="00597DA7"/>
    <w:rsid w:val="005A3C6C"/>
    <w:rsid w:val="005A46F8"/>
    <w:rsid w:val="005A538F"/>
    <w:rsid w:val="005A72E5"/>
    <w:rsid w:val="005A7B78"/>
    <w:rsid w:val="005A7D7C"/>
    <w:rsid w:val="005B15F9"/>
    <w:rsid w:val="005B1AA9"/>
    <w:rsid w:val="005C1D25"/>
    <w:rsid w:val="005C4B87"/>
    <w:rsid w:val="005D1AD9"/>
    <w:rsid w:val="005D6606"/>
    <w:rsid w:val="005D6E9A"/>
    <w:rsid w:val="005E16FC"/>
    <w:rsid w:val="005E757A"/>
    <w:rsid w:val="005E75AF"/>
    <w:rsid w:val="005E7AC4"/>
    <w:rsid w:val="005F799C"/>
    <w:rsid w:val="00606EBB"/>
    <w:rsid w:val="006164D7"/>
    <w:rsid w:val="00616CF1"/>
    <w:rsid w:val="00616DFE"/>
    <w:rsid w:val="00617FEA"/>
    <w:rsid w:val="006317CC"/>
    <w:rsid w:val="006401DB"/>
    <w:rsid w:val="00641333"/>
    <w:rsid w:val="00642902"/>
    <w:rsid w:val="00642ECE"/>
    <w:rsid w:val="006433F5"/>
    <w:rsid w:val="00643E44"/>
    <w:rsid w:val="00643FCB"/>
    <w:rsid w:val="0065461D"/>
    <w:rsid w:val="006546B3"/>
    <w:rsid w:val="00655B31"/>
    <w:rsid w:val="006565B2"/>
    <w:rsid w:val="00657C24"/>
    <w:rsid w:val="0066058C"/>
    <w:rsid w:val="0066089D"/>
    <w:rsid w:val="00660CF4"/>
    <w:rsid w:val="006611DE"/>
    <w:rsid w:val="0066278F"/>
    <w:rsid w:val="00663F48"/>
    <w:rsid w:val="00664123"/>
    <w:rsid w:val="006641FA"/>
    <w:rsid w:val="0066565B"/>
    <w:rsid w:val="00665E21"/>
    <w:rsid w:val="00667B03"/>
    <w:rsid w:val="00670A4C"/>
    <w:rsid w:val="00673AA4"/>
    <w:rsid w:val="00673F80"/>
    <w:rsid w:val="006763F4"/>
    <w:rsid w:val="00676E0F"/>
    <w:rsid w:val="00676E29"/>
    <w:rsid w:val="00677EE9"/>
    <w:rsid w:val="00681C3F"/>
    <w:rsid w:val="00681CCD"/>
    <w:rsid w:val="00682743"/>
    <w:rsid w:val="0068329B"/>
    <w:rsid w:val="00685F16"/>
    <w:rsid w:val="0069088F"/>
    <w:rsid w:val="00691643"/>
    <w:rsid w:val="00692752"/>
    <w:rsid w:val="00692996"/>
    <w:rsid w:val="006940FF"/>
    <w:rsid w:val="00695A3E"/>
    <w:rsid w:val="00696B93"/>
    <w:rsid w:val="006A2BA5"/>
    <w:rsid w:val="006A3DA6"/>
    <w:rsid w:val="006A7FAE"/>
    <w:rsid w:val="006B0D22"/>
    <w:rsid w:val="006B7E42"/>
    <w:rsid w:val="006C4C5A"/>
    <w:rsid w:val="006D525E"/>
    <w:rsid w:val="006E2A94"/>
    <w:rsid w:val="006E554F"/>
    <w:rsid w:val="006F791A"/>
    <w:rsid w:val="006F7BD7"/>
    <w:rsid w:val="007031A5"/>
    <w:rsid w:val="00703B3F"/>
    <w:rsid w:val="00721351"/>
    <w:rsid w:val="0072440B"/>
    <w:rsid w:val="00726659"/>
    <w:rsid w:val="00726AC7"/>
    <w:rsid w:val="0072793F"/>
    <w:rsid w:val="00727F03"/>
    <w:rsid w:val="007311D5"/>
    <w:rsid w:val="007351A8"/>
    <w:rsid w:val="007376CC"/>
    <w:rsid w:val="00740768"/>
    <w:rsid w:val="007407F8"/>
    <w:rsid w:val="00740B16"/>
    <w:rsid w:val="00743274"/>
    <w:rsid w:val="00744045"/>
    <w:rsid w:val="00746B4D"/>
    <w:rsid w:val="00753079"/>
    <w:rsid w:val="007603B1"/>
    <w:rsid w:val="00762A73"/>
    <w:rsid w:val="007676B4"/>
    <w:rsid w:val="00772A92"/>
    <w:rsid w:val="00773857"/>
    <w:rsid w:val="007744F0"/>
    <w:rsid w:val="007746F3"/>
    <w:rsid w:val="0078060E"/>
    <w:rsid w:val="00780F70"/>
    <w:rsid w:val="007817CD"/>
    <w:rsid w:val="00781880"/>
    <w:rsid w:val="00787FE3"/>
    <w:rsid w:val="00790BD0"/>
    <w:rsid w:val="007A0A8C"/>
    <w:rsid w:val="007A0F26"/>
    <w:rsid w:val="007A1E30"/>
    <w:rsid w:val="007A3DD2"/>
    <w:rsid w:val="007A4B81"/>
    <w:rsid w:val="007A5FA5"/>
    <w:rsid w:val="007A68A7"/>
    <w:rsid w:val="007A76DA"/>
    <w:rsid w:val="007B1A99"/>
    <w:rsid w:val="007B3B35"/>
    <w:rsid w:val="007C0FAF"/>
    <w:rsid w:val="007C2426"/>
    <w:rsid w:val="007C70CF"/>
    <w:rsid w:val="007D05D7"/>
    <w:rsid w:val="007D5953"/>
    <w:rsid w:val="007D6D46"/>
    <w:rsid w:val="007E17E4"/>
    <w:rsid w:val="007E670E"/>
    <w:rsid w:val="007F1AA2"/>
    <w:rsid w:val="007F711F"/>
    <w:rsid w:val="00801F2E"/>
    <w:rsid w:val="00807B75"/>
    <w:rsid w:val="008118CB"/>
    <w:rsid w:val="00823DB3"/>
    <w:rsid w:val="00826964"/>
    <w:rsid w:val="008333B0"/>
    <w:rsid w:val="008369C0"/>
    <w:rsid w:val="00837CC4"/>
    <w:rsid w:val="00846517"/>
    <w:rsid w:val="00854E5F"/>
    <w:rsid w:val="008615EE"/>
    <w:rsid w:val="00864B6D"/>
    <w:rsid w:val="00870CA2"/>
    <w:rsid w:val="00872DC0"/>
    <w:rsid w:val="00880169"/>
    <w:rsid w:val="00881247"/>
    <w:rsid w:val="008847ED"/>
    <w:rsid w:val="00885ECB"/>
    <w:rsid w:val="0089272C"/>
    <w:rsid w:val="00892BE8"/>
    <w:rsid w:val="00894BB7"/>
    <w:rsid w:val="00894D31"/>
    <w:rsid w:val="008952D1"/>
    <w:rsid w:val="0089697A"/>
    <w:rsid w:val="008A0650"/>
    <w:rsid w:val="008A0BAC"/>
    <w:rsid w:val="008B0446"/>
    <w:rsid w:val="008B0D33"/>
    <w:rsid w:val="008B272C"/>
    <w:rsid w:val="008B4210"/>
    <w:rsid w:val="008C44F4"/>
    <w:rsid w:val="008D0ADE"/>
    <w:rsid w:val="008D19BC"/>
    <w:rsid w:val="008D37F0"/>
    <w:rsid w:val="008D68C8"/>
    <w:rsid w:val="008D7713"/>
    <w:rsid w:val="008E0A0C"/>
    <w:rsid w:val="008E1B41"/>
    <w:rsid w:val="008E2662"/>
    <w:rsid w:val="008E38E8"/>
    <w:rsid w:val="008F669B"/>
    <w:rsid w:val="008F76DE"/>
    <w:rsid w:val="008F7902"/>
    <w:rsid w:val="0091039D"/>
    <w:rsid w:val="00912064"/>
    <w:rsid w:val="00922CED"/>
    <w:rsid w:val="0092318E"/>
    <w:rsid w:val="00923CBA"/>
    <w:rsid w:val="0093681C"/>
    <w:rsid w:val="00937AE1"/>
    <w:rsid w:val="0094447B"/>
    <w:rsid w:val="00944EF1"/>
    <w:rsid w:val="009501F8"/>
    <w:rsid w:val="009566D1"/>
    <w:rsid w:val="00961384"/>
    <w:rsid w:val="00964276"/>
    <w:rsid w:val="00966A86"/>
    <w:rsid w:val="00966C1C"/>
    <w:rsid w:val="009702CC"/>
    <w:rsid w:val="00972267"/>
    <w:rsid w:val="00972B49"/>
    <w:rsid w:val="0097693F"/>
    <w:rsid w:val="0098099E"/>
    <w:rsid w:val="00981216"/>
    <w:rsid w:val="009812EF"/>
    <w:rsid w:val="00991DBE"/>
    <w:rsid w:val="009924A9"/>
    <w:rsid w:val="00992C91"/>
    <w:rsid w:val="00994DDA"/>
    <w:rsid w:val="00997593"/>
    <w:rsid w:val="0099782D"/>
    <w:rsid w:val="009A14F0"/>
    <w:rsid w:val="009A4E30"/>
    <w:rsid w:val="009A5CC2"/>
    <w:rsid w:val="009A6280"/>
    <w:rsid w:val="009B527B"/>
    <w:rsid w:val="009B6898"/>
    <w:rsid w:val="009C36CF"/>
    <w:rsid w:val="009C40E0"/>
    <w:rsid w:val="009C7271"/>
    <w:rsid w:val="009C7B29"/>
    <w:rsid w:val="009D18F1"/>
    <w:rsid w:val="009D3F16"/>
    <w:rsid w:val="009D485D"/>
    <w:rsid w:val="009D634F"/>
    <w:rsid w:val="009D73A3"/>
    <w:rsid w:val="009E1364"/>
    <w:rsid w:val="009E391B"/>
    <w:rsid w:val="009E3CD5"/>
    <w:rsid w:val="009E4046"/>
    <w:rsid w:val="009E4BC1"/>
    <w:rsid w:val="009F6000"/>
    <w:rsid w:val="009F6AE2"/>
    <w:rsid w:val="009F7DA6"/>
    <w:rsid w:val="00A03287"/>
    <w:rsid w:val="00A0497E"/>
    <w:rsid w:val="00A054CC"/>
    <w:rsid w:val="00A12DCF"/>
    <w:rsid w:val="00A15058"/>
    <w:rsid w:val="00A1550C"/>
    <w:rsid w:val="00A21BD4"/>
    <w:rsid w:val="00A22E50"/>
    <w:rsid w:val="00A232A2"/>
    <w:rsid w:val="00A24214"/>
    <w:rsid w:val="00A248F3"/>
    <w:rsid w:val="00A26AAD"/>
    <w:rsid w:val="00A35EFC"/>
    <w:rsid w:val="00A428F0"/>
    <w:rsid w:val="00A42E79"/>
    <w:rsid w:val="00A519EE"/>
    <w:rsid w:val="00A52338"/>
    <w:rsid w:val="00A55E4C"/>
    <w:rsid w:val="00A56E78"/>
    <w:rsid w:val="00A63DEC"/>
    <w:rsid w:val="00A67C92"/>
    <w:rsid w:val="00A706DB"/>
    <w:rsid w:val="00A70EAB"/>
    <w:rsid w:val="00A71C4D"/>
    <w:rsid w:val="00A73355"/>
    <w:rsid w:val="00A80844"/>
    <w:rsid w:val="00A842D3"/>
    <w:rsid w:val="00A917BC"/>
    <w:rsid w:val="00A919AA"/>
    <w:rsid w:val="00A930AF"/>
    <w:rsid w:val="00AA0E54"/>
    <w:rsid w:val="00AA1633"/>
    <w:rsid w:val="00AA16DC"/>
    <w:rsid w:val="00AA4897"/>
    <w:rsid w:val="00AA5BDE"/>
    <w:rsid w:val="00AA69B1"/>
    <w:rsid w:val="00AA76DF"/>
    <w:rsid w:val="00AB26CE"/>
    <w:rsid w:val="00AC0B99"/>
    <w:rsid w:val="00AC15E2"/>
    <w:rsid w:val="00AC1EC4"/>
    <w:rsid w:val="00AC3BBC"/>
    <w:rsid w:val="00AD25EF"/>
    <w:rsid w:val="00AD272A"/>
    <w:rsid w:val="00AE176F"/>
    <w:rsid w:val="00AE21A8"/>
    <w:rsid w:val="00AE53D0"/>
    <w:rsid w:val="00AE5DBE"/>
    <w:rsid w:val="00AE7AAB"/>
    <w:rsid w:val="00AF2B4A"/>
    <w:rsid w:val="00AF3A69"/>
    <w:rsid w:val="00AF6752"/>
    <w:rsid w:val="00AF6D92"/>
    <w:rsid w:val="00AF7E4A"/>
    <w:rsid w:val="00B01537"/>
    <w:rsid w:val="00B026C1"/>
    <w:rsid w:val="00B03115"/>
    <w:rsid w:val="00B031FF"/>
    <w:rsid w:val="00B06E4B"/>
    <w:rsid w:val="00B12C33"/>
    <w:rsid w:val="00B16C0F"/>
    <w:rsid w:val="00B22895"/>
    <w:rsid w:val="00B328A7"/>
    <w:rsid w:val="00B33417"/>
    <w:rsid w:val="00B3767B"/>
    <w:rsid w:val="00B41FE2"/>
    <w:rsid w:val="00B4297E"/>
    <w:rsid w:val="00B43E0B"/>
    <w:rsid w:val="00B46CD7"/>
    <w:rsid w:val="00B506AB"/>
    <w:rsid w:val="00B540F2"/>
    <w:rsid w:val="00B55F44"/>
    <w:rsid w:val="00B60932"/>
    <w:rsid w:val="00B6414F"/>
    <w:rsid w:val="00B654F8"/>
    <w:rsid w:val="00B65BA3"/>
    <w:rsid w:val="00B66C8F"/>
    <w:rsid w:val="00B7021D"/>
    <w:rsid w:val="00B71526"/>
    <w:rsid w:val="00B74E62"/>
    <w:rsid w:val="00B75191"/>
    <w:rsid w:val="00B760E9"/>
    <w:rsid w:val="00B775B6"/>
    <w:rsid w:val="00B81CC6"/>
    <w:rsid w:val="00B82243"/>
    <w:rsid w:val="00B8224E"/>
    <w:rsid w:val="00B82477"/>
    <w:rsid w:val="00B842FD"/>
    <w:rsid w:val="00B8784D"/>
    <w:rsid w:val="00B90F95"/>
    <w:rsid w:val="00B96500"/>
    <w:rsid w:val="00B97FA4"/>
    <w:rsid w:val="00BA4698"/>
    <w:rsid w:val="00BB6DA5"/>
    <w:rsid w:val="00BC01D3"/>
    <w:rsid w:val="00BC0CBF"/>
    <w:rsid w:val="00BC0E42"/>
    <w:rsid w:val="00BC3982"/>
    <w:rsid w:val="00BC5EC9"/>
    <w:rsid w:val="00BC6E78"/>
    <w:rsid w:val="00BC6E8C"/>
    <w:rsid w:val="00BC7108"/>
    <w:rsid w:val="00BD0AF0"/>
    <w:rsid w:val="00BD1143"/>
    <w:rsid w:val="00BD1666"/>
    <w:rsid w:val="00BD4694"/>
    <w:rsid w:val="00BD48F9"/>
    <w:rsid w:val="00BD5EE6"/>
    <w:rsid w:val="00BD6507"/>
    <w:rsid w:val="00BE07BA"/>
    <w:rsid w:val="00BE2934"/>
    <w:rsid w:val="00BE3AA4"/>
    <w:rsid w:val="00BE76D0"/>
    <w:rsid w:val="00BE796F"/>
    <w:rsid w:val="00BF10E7"/>
    <w:rsid w:val="00BF52C0"/>
    <w:rsid w:val="00C014B2"/>
    <w:rsid w:val="00C02E9C"/>
    <w:rsid w:val="00C03F8B"/>
    <w:rsid w:val="00C10D88"/>
    <w:rsid w:val="00C112F0"/>
    <w:rsid w:val="00C11720"/>
    <w:rsid w:val="00C1451B"/>
    <w:rsid w:val="00C175B2"/>
    <w:rsid w:val="00C17684"/>
    <w:rsid w:val="00C20B66"/>
    <w:rsid w:val="00C20F69"/>
    <w:rsid w:val="00C222D6"/>
    <w:rsid w:val="00C2642A"/>
    <w:rsid w:val="00C276D5"/>
    <w:rsid w:val="00C41796"/>
    <w:rsid w:val="00C46906"/>
    <w:rsid w:val="00C5083A"/>
    <w:rsid w:val="00C54578"/>
    <w:rsid w:val="00C61B39"/>
    <w:rsid w:val="00C626ED"/>
    <w:rsid w:val="00C632D2"/>
    <w:rsid w:val="00C6347B"/>
    <w:rsid w:val="00C653D8"/>
    <w:rsid w:val="00C70FA9"/>
    <w:rsid w:val="00C82990"/>
    <w:rsid w:val="00C84AAA"/>
    <w:rsid w:val="00C90954"/>
    <w:rsid w:val="00C90DC8"/>
    <w:rsid w:val="00C90ED5"/>
    <w:rsid w:val="00C953D8"/>
    <w:rsid w:val="00CA188C"/>
    <w:rsid w:val="00CA71D0"/>
    <w:rsid w:val="00CB2E92"/>
    <w:rsid w:val="00CB767E"/>
    <w:rsid w:val="00CB7CD1"/>
    <w:rsid w:val="00CC003D"/>
    <w:rsid w:val="00CC19D1"/>
    <w:rsid w:val="00CC369D"/>
    <w:rsid w:val="00CC5DAC"/>
    <w:rsid w:val="00CD15A3"/>
    <w:rsid w:val="00CD603F"/>
    <w:rsid w:val="00CD6E14"/>
    <w:rsid w:val="00CD773D"/>
    <w:rsid w:val="00CD7773"/>
    <w:rsid w:val="00CE1B40"/>
    <w:rsid w:val="00CE64F9"/>
    <w:rsid w:val="00CF0963"/>
    <w:rsid w:val="00CF6462"/>
    <w:rsid w:val="00CF681E"/>
    <w:rsid w:val="00CF7FA5"/>
    <w:rsid w:val="00D0174D"/>
    <w:rsid w:val="00D0541B"/>
    <w:rsid w:val="00D05B99"/>
    <w:rsid w:val="00D066C9"/>
    <w:rsid w:val="00D1044E"/>
    <w:rsid w:val="00D1417F"/>
    <w:rsid w:val="00D20045"/>
    <w:rsid w:val="00D20D9F"/>
    <w:rsid w:val="00D270F5"/>
    <w:rsid w:val="00D306E1"/>
    <w:rsid w:val="00D31F91"/>
    <w:rsid w:val="00D33896"/>
    <w:rsid w:val="00D36298"/>
    <w:rsid w:val="00D3778D"/>
    <w:rsid w:val="00D41470"/>
    <w:rsid w:val="00D45699"/>
    <w:rsid w:val="00D502AF"/>
    <w:rsid w:val="00D515CF"/>
    <w:rsid w:val="00D54C38"/>
    <w:rsid w:val="00D552EE"/>
    <w:rsid w:val="00D60F3E"/>
    <w:rsid w:val="00D62B70"/>
    <w:rsid w:val="00D75AE1"/>
    <w:rsid w:val="00D826E8"/>
    <w:rsid w:val="00D85BBC"/>
    <w:rsid w:val="00D915EC"/>
    <w:rsid w:val="00D9239C"/>
    <w:rsid w:val="00D94EDB"/>
    <w:rsid w:val="00D96557"/>
    <w:rsid w:val="00DA44D6"/>
    <w:rsid w:val="00DA4C46"/>
    <w:rsid w:val="00DA6DE5"/>
    <w:rsid w:val="00DA7C3F"/>
    <w:rsid w:val="00DB1984"/>
    <w:rsid w:val="00DB1E29"/>
    <w:rsid w:val="00DB2FC2"/>
    <w:rsid w:val="00DB4244"/>
    <w:rsid w:val="00DB62DF"/>
    <w:rsid w:val="00DC00DC"/>
    <w:rsid w:val="00DC1D72"/>
    <w:rsid w:val="00DC456C"/>
    <w:rsid w:val="00DC6CE5"/>
    <w:rsid w:val="00DD0037"/>
    <w:rsid w:val="00DD0A74"/>
    <w:rsid w:val="00DD28C1"/>
    <w:rsid w:val="00DE00D9"/>
    <w:rsid w:val="00DE5A7C"/>
    <w:rsid w:val="00DE6413"/>
    <w:rsid w:val="00DE66EB"/>
    <w:rsid w:val="00DF1842"/>
    <w:rsid w:val="00DF26CD"/>
    <w:rsid w:val="00DF46A9"/>
    <w:rsid w:val="00E00ED2"/>
    <w:rsid w:val="00E01CF1"/>
    <w:rsid w:val="00E10415"/>
    <w:rsid w:val="00E11D04"/>
    <w:rsid w:val="00E13153"/>
    <w:rsid w:val="00E20766"/>
    <w:rsid w:val="00E21C58"/>
    <w:rsid w:val="00E23252"/>
    <w:rsid w:val="00E242E5"/>
    <w:rsid w:val="00E26A32"/>
    <w:rsid w:val="00E273DB"/>
    <w:rsid w:val="00E3605D"/>
    <w:rsid w:val="00E46C79"/>
    <w:rsid w:val="00E545D5"/>
    <w:rsid w:val="00E55683"/>
    <w:rsid w:val="00E657E1"/>
    <w:rsid w:val="00E65C0A"/>
    <w:rsid w:val="00E706A6"/>
    <w:rsid w:val="00E71E3F"/>
    <w:rsid w:val="00E72348"/>
    <w:rsid w:val="00E75058"/>
    <w:rsid w:val="00E7673F"/>
    <w:rsid w:val="00E77E8D"/>
    <w:rsid w:val="00E81A88"/>
    <w:rsid w:val="00E81BBA"/>
    <w:rsid w:val="00E82290"/>
    <w:rsid w:val="00E85BA2"/>
    <w:rsid w:val="00E86B30"/>
    <w:rsid w:val="00E91924"/>
    <w:rsid w:val="00E92C40"/>
    <w:rsid w:val="00E947EF"/>
    <w:rsid w:val="00E954CC"/>
    <w:rsid w:val="00E96B62"/>
    <w:rsid w:val="00EA5B48"/>
    <w:rsid w:val="00EB45EB"/>
    <w:rsid w:val="00EB666E"/>
    <w:rsid w:val="00EC0D1E"/>
    <w:rsid w:val="00EC60B3"/>
    <w:rsid w:val="00EC63EA"/>
    <w:rsid w:val="00EC6C05"/>
    <w:rsid w:val="00ED0852"/>
    <w:rsid w:val="00ED4978"/>
    <w:rsid w:val="00ED4CCD"/>
    <w:rsid w:val="00EE0E93"/>
    <w:rsid w:val="00EE36B9"/>
    <w:rsid w:val="00EE7159"/>
    <w:rsid w:val="00EF62BF"/>
    <w:rsid w:val="00EF6CF2"/>
    <w:rsid w:val="00F014A0"/>
    <w:rsid w:val="00F12107"/>
    <w:rsid w:val="00F1221C"/>
    <w:rsid w:val="00F15BEE"/>
    <w:rsid w:val="00F16792"/>
    <w:rsid w:val="00F16915"/>
    <w:rsid w:val="00F1783D"/>
    <w:rsid w:val="00F21ED4"/>
    <w:rsid w:val="00F25757"/>
    <w:rsid w:val="00F272DA"/>
    <w:rsid w:val="00F35018"/>
    <w:rsid w:val="00F402F5"/>
    <w:rsid w:val="00F42A1F"/>
    <w:rsid w:val="00F511B2"/>
    <w:rsid w:val="00F51C55"/>
    <w:rsid w:val="00F55526"/>
    <w:rsid w:val="00F55EAC"/>
    <w:rsid w:val="00F625BB"/>
    <w:rsid w:val="00F668F2"/>
    <w:rsid w:val="00F705F7"/>
    <w:rsid w:val="00F74BC2"/>
    <w:rsid w:val="00F74D3F"/>
    <w:rsid w:val="00F750E3"/>
    <w:rsid w:val="00F767C3"/>
    <w:rsid w:val="00F834E5"/>
    <w:rsid w:val="00F83DC0"/>
    <w:rsid w:val="00F84448"/>
    <w:rsid w:val="00F87A47"/>
    <w:rsid w:val="00F90399"/>
    <w:rsid w:val="00F91893"/>
    <w:rsid w:val="00F91E17"/>
    <w:rsid w:val="00FA10FC"/>
    <w:rsid w:val="00FA1843"/>
    <w:rsid w:val="00FA28A0"/>
    <w:rsid w:val="00FA5163"/>
    <w:rsid w:val="00FB4DF7"/>
    <w:rsid w:val="00FB5917"/>
    <w:rsid w:val="00FD088C"/>
    <w:rsid w:val="00FD1EEF"/>
    <w:rsid w:val="00FD2012"/>
    <w:rsid w:val="00FE1398"/>
    <w:rsid w:val="00FE6462"/>
    <w:rsid w:val="034A534C"/>
    <w:rsid w:val="036871A2"/>
    <w:rsid w:val="04A10F62"/>
    <w:rsid w:val="04C74C8A"/>
    <w:rsid w:val="053D36E0"/>
    <w:rsid w:val="0543790B"/>
    <w:rsid w:val="057E64FF"/>
    <w:rsid w:val="05B41D95"/>
    <w:rsid w:val="07C046EC"/>
    <w:rsid w:val="07F774E3"/>
    <w:rsid w:val="07F96744"/>
    <w:rsid w:val="09E86351"/>
    <w:rsid w:val="0A03446D"/>
    <w:rsid w:val="0AC317E3"/>
    <w:rsid w:val="0BF41D94"/>
    <w:rsid w:val="0C764185"/>
    <w:rsid w:val="0DA157D6"/>
    <w:rsid w:val="0F5F5C97"/>
    <w:rsid w:val="0FBA3760"/>
    <w:rsid w:val="11A84429"/>
    <w:rsid w:val="120636C2"/>
    <w:rsid w:val="126E7CEB"/>
    <w:rsid w:val="13D456A2"/>
    <w:rsid w:val="16685F50"/>
    <w:rsid w:val="168B610E"/>
    <w:rsid w:val="16CF6CE1"/>
    <w:rsid w:val="171B0425"/>
    <w:rsid w:val="17B763AC"/>
    <w:rsid w:val="1AD35795"/>
    <w:rsid w:val="1AD42E56"/>
    <w:rsid w:val="1B59213E"/>
    <w:rsid w:val="1BE16AF0"/>
    <w:rsid w:val="1BEF3F02"/>
    <w:rsid w:val="1D510D1D"/>
    <w:rsid w:val="1D6C7CB4"/>
    <w:rsid w:val="1E5B791B"/>
    <w:rsid w:val="1FB90B55"/>
    <w:rsid w:val="208B2FD9"/>
    <w:rsid w:val="220E4955"/>
    <w:rsid w:val="22B3417C"/>
    <w:rsid w:val="22DC6980"/>
    <w:rsid w:val="231424E4"/>
    <w:rsid w:val="235879E8"/>
    <w:rsid w:val="23817A20"/>
    <w:rsid w:val="24671762"/>
    <w:rsid w:val="247955FF"/>
    <w:rsid w:val="2518189E"/>
    <w:rsid w:val="25C23CE7"/>
    <w:rsid w:val="2B620B9B"/>
    <w:rsid w:val="2CAD06F7"/>
    <w:rsid w:val="2D417F5A"/>
    <w:rsid w:val="2D894C06"/>
    <w:rsid w:val="2DA770CE"/>
    <w:rsid w:val="2DE41F75"/>
    <w:rsid w:val="2F4862A1"/>
    <w:rsid w:val="2FA670C1"/>
    <w:rsid w:val="31D66820"/>
    <w:rsid w:val="31E577F4"/>
    <w:rsid w:val="321114EF"/>
    <w:rsid w:val="32BE460A"/>
    <w:rsid w:val="32F9636B"/>
    <w:rsid w:val="35F24277"/>
    <w:rsid w:val="36895212"/>
    <w:rsid w:val="36AA4FA5"/>
    <w:rsid w:val="37A92246"/>
    <w:rsid w:val="381F1765"/>
    <w:rsid w:val="384D4AE5"/>
    <w:rsid w:val="3B193A50"/>
    <w:rsid w:val="3BC77734"/>
    <w:rsid w:val="3D127F47"/>
    <w:rsid w:val="3DF74EF9"/>
    <w:rsid w:val="3DFD567E"/>
    <w:rsid w:val="3EF85E8E"/>
    <w:rsid w:val="40477C4B"/>
    <w:rsid w:val="411D4193"/>
    <w:rsid w:val="426A5481"/>
    <w:rsid w:val="448F1109"/>
    <w:rsid w:val="44BE4B4B"/>
    <w:rsid w:val="44C35037"/>
    <w:rsid w:val="44EA7D12"/>
    <w:rsid w:val="4584661A"/>
    <w:rsid w:val="4885290C"/>
    <w:rsid w:val="4AFB201B"/>
    <w:rsid w:val="4B081FEA"/>
    <w:rsid w:val="4B7B4219"/>
    <w:rsid w:val="4BA9428D"/>
    <w:rsid w:val="4C20442F"/>
    <w:rsid w:val="4CDC1D39"/>
    <w:rsid w:val="4D735DD6"/>
    <w:rsid w:val="4E947D96"/>
    <w:rsid w:val="4FFA1F8C"/>
    <w:rsid w:val="502B7D02"/>
    <w:rsid w:val="50463AE6"/>
    <w:rsid w:val="5294753E"/>
    <w:rsid w:val="535A075B"/>
    <w:rsid w:val="53904F8A"/>
    <w:rsid w:val="53B9600F"/>
    <w:rsid w:val="56EA18C1"/>
    <w:rsid w:val="56EA1935"/>
    <w:rsid w:val="57D61E46"/>
    <w:rsid w:val="59C66D60"/>
    <w:rsid w:val="5A676D03"/>
    <w:rsid w:val="5B225B51"/>
    <w:rsid w:val="61A01741"/>
    <w:rsid w:val="61F37E83"/>
    <w:rsid w:val="62751793"/>
    <w:rsid w:val="634E0439"/>
    <w:rsid w:val="648A0669"/>
    <w:rsid w:val="675A61D9"/>
    <w:rsid w:val="69207857"/>
    <w:rsid w:val="69523181"/>
    <w:rsid w:val="69B013C6"/>
    <w:rsid w:val="69B57F36"/>
    <w:rsid w:val="69D702DF"/>
    <w:rsid w:val="6A7218E5"/>
    <w:rsid w:val="6AD2649C"/>
    <w:rsid w:val="6B4A4657"/>
    <w:rsid w:val="6BAA4973"/>
    <w:rsid w:val="6C5070D0"/>
    <w:rsid w:val="6CE540B5"/>
    <w:rsid w:val="6D6467EB"/>
    <w:rsid w:val="6E923E19"/>
    <w:rsid w:val="6EEE6F4B"/>
    <w:rsid w:val="6F550972"/>
    <w:rsid w:val="712D4CA5"/>
    <w:rsid w:val="71FF319D"/>
    <w:rsid w:val="73B00E80"/>
    <w:rsid w:val="74661926"/>
    <w:rsid w:val="754A7721"/>
    <w:rsid w:val="75A9546A"/>
    <w:rsid w:val="78987EEB"/>
    <w:rsid w:val="79125FA9"/>
    <w:rsid w:val="7B930795"/>
    <w:rsid w:val="7CF03837"/>
    <w:rsid w:val="7DBA2561"/>
    <w:rsid w:val="7F411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4"/>
    <w:unhideWhenUsed/>
    <w:qFormat/>
    <w:uiPriority w:val="99"/>
    <w:pPr>
      <w:jc w:val="left"/>
    </w:pPr>
    <w:rPr>
      <w:rFonts w:ascii="Calibri" w:hAnsi="Calibri" w:eastAsia="宋体" w:cs="Times New Roman"/>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annotation subject"/>
    <w:basedOn w:val="2"/>
    <w:next w:val="2"/>
    <w:link w:val="26"/>
    <w:semiHidden/>
    <w:unhideWhenUsed/>
    <w:qFormat/>
    <w:uiPriority w:val="99"/>
    <w:rPr>
      <w:rFonts w:asciiTheme="minorHAnsi" w:hAnsiTheme="minorHAnsi" w:eastAsiaTheme="minorEastAsia" w:cstheme="minorBidi"/>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段 Char"/>
    <w:link w:val="14"/>
    <w:qFormat/>
    <w:uiPriority w:val="0"/>
    <w:rPr>
      <w:rFonts w:ascii="宋体"/>
      <w:sz w:val="21"/>
    </w:rPr>
  </w:style>
  <w:style w:type="paragraph" w:customStyle="1" w:styleId="14">
    <w:name w:val="段"/>
    <w:link w:val="13"/>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sz w:val="21"/>
      <w:lang w:val="en-US" w:eastAsia="zh-CN" w:bidi="ar-SA"/>
    </w:rPr>
  </w:style>
  <w:style w:type="paragraph" w:customStyle="1" w:styleId="15">
    <w:name w:val="标准文件_段"/>
    <w:link w:val="1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6">
    <w:name w:val="标准文件_段 Char"/>
    <w:link w:val="15"/>
    <w:qFormat/>
    <w:uiPriority w:val="0"/>
    <w:rPr>
      <w:rFonts w:ascii="宋体" w:hAnsi="Times New Roman" w:eastAsia="宋体" w:cs="Times New Roman"/>
      <w:sz w:val="21"/>
    </w:rPr>
  </w:style>
  <w:style w:type="paragraph" w:customStyle="1" w:styleId="17">
    <w:name w:val="标准文件_二级条标题"/>
    <w:next w:val="15"/>
    <w:qFormat/>
    <w:uiPriority w:val="0"/>
    <w:pPr>
      <w:widowControl w:val="0"/>
      <w:numPr>
        <w:ilvl w:val="3"/>
        <w:numId w:val="1"/>
      </w:numPr>
      <w:spacing w:beforeLines="50" w:afterLines="50"/>
      <w:jc w:val="both"/>
      <w:outlineLvl w:val="2"/>
    </w:pPr>
    <w:rPr>
      <w:rFonts w:ascii="黑体" w:hAnsi="Times New Roman" w:eastAsia="黑体" w:cs="Times New Roman"/>
      <w:sz w:val="21"/>
      <w:lang w:val="en-US" w:eastAsia="zh-CN" w:bidi="ar-SA"/>
    </w:rPr>
  </w:style>
  <w:style w:type="paragraph" w:customStyle="1" w:styleId="18">
    <w:name w:val="标准文件_三级条标题"/>
    <w:basedOn w:val="17"/>
    <w:next w:val="15"/>
    <w:qFormat/>
    <w:uiPriority w:val="0"/>
    <w:pPr>
      <w:widowControl/>
      <w:numPr>
        <w:ilvl w:val="4"/>
      </w:numPr>
      <w:outlineLvl w:val="3"/>
    </w:pPr>
  </w:style>
  <w:style w:type="paragraph" w:customStyle="1" w:styleId="19">
    <w:name w:val="标准文件_四级条标题"/>
    <w:next w:val="15"/>
    <w:qFormat/>
    <w:uiPriority w:val="0"/>
    <w:pPr>
      <w:widowControl w:val="0"/>
      <w:numPr>
        <w:ilvl w:val="5"/>
        <w:numId w:val="1"/>
      </w:numPr>
      <w:spacing w:beforeLines="50" w:afterLines="50"/>
      <w:jc w:val="both"/>
      <w:outlineLvl w:val="4"/>
    </w:pPr>
    <w:rPr>
      <w:rFonts w:ascii="黑体" w:hAnsi="Times New Roman" w:eastAsia="黑体" w:cs="Times New Roman"/>
      <w:sz w:val="21"/>
      <w:lang w:val="en-US" w:eastAsia="zh-CN" w:bidi="ar-SA"/>
    </w:rPr>
  </w:style>
  <w:style w:type="paragraph" w:customStyle="1" w:styleId="20">
    <w:name w:val="标准文件_五级条标题"/>
    <w:next w:val="15"/>
    <w:qFormat/>
    <w:uiPriority w:val="0"/>
    <w:pPr>
      <w:widowControl w:val="0"/>
      <w:numPr>
        <w:ilvl w:val="6"/>
        <w:numId w:val="1"/>
      </w:numPr>
      <w:spacing w:beforeLines="50" w:afterLines="50"/>
      <w:jc w:val="both"/>
      <w:outlineLvl w:val="5"/>
    </w:pPr>
    <w:rPr>
      <w:rFonts w:ascii="黑体" w:hAnsi="Times New Roman" w:eastAsia="黑体" w:cs="Times New Roman"/>
      <w:sz w:val="21"/>
      <w:lang w:val="en-US" w:eastAsia="zh-CN" w:bidi="ar-SA"/>
    </w:rPr>
  </w:style>
  <w:style w:type="paragraph" w:customStyle="1" w:styleId="21">
    <w:name w:val="标准文件_章标题"/>
    <w:next w:val="15"/>
    <w:qFormat/>
    <w:uiPriority w:val="0"/>
    <w:pPr>
      <w:numPr>
        <w:ilvl w:val="1"/>
        <w:numId w:val="1"/>
      </w:numPr>
      <w:spacing w:beforeLines="100" w:afterLines="100"/>
      <w:jc w:val="both"/>
      <w:outlineLvl w:val="0"/>
    </w:pPr>
    <w:rPr>
      <w:rFonts w:ascii="黑体" w:hAnsi="Times New Roman" w:eastAsia="黑体" w:cs="Times New Roman"/>
      <w:sz w:val="21"/>
      <w:lang w:val="en-US" w:eastAsia="zh-CN" w:bidi="ar-SA"/>
    </w:rPr>
  </w:style>
  <w:style w:type="paragraph" w:customStyle="1" w:styleId="22">
    <w:name w:val="标准文件_一级条标题"/>
    <w:basedOn w:val="21"/>
    <w:next w:val="15"/>
    <w:qFormat/>
    <w:uiPriority w:val="0"/>
    <w:pPr>
      <w:numPr>
        <w:ilvl w:val="2"/>
      </w:numPr>
      <w:spacing w:beforeLines="50" w:afterLines="50"/>
      <w:outlineLvl w:val="1"/>
    </w:pPr>
  </w:style>
  <w:style w:type="paragraph" w:customStyle="1" w:styleId="23">
    <w:name w:val="前言标题"/>
    <w:next w:val="1"/>
    <w:qFormat/>
    <w:uiPriority w:val="0"/>
    <w:pPr>
      <w:numPr>
        <w:ilvl w:val="0"/>
        <w:numId w:val="1"/>
      </w:numPr>
      <w:shd w:val="clear" w:color="FFFFFF" w:fill="FFFFFF"/>
      <w:spacing w:before="540" w:after="600"/>
      <w:jc w:val="center"/>
      <w:outlineLvl w:val="0"/>
    </w:pPr>
    <w:rPr>
      <w:rFonts w:ascii="黑体" w:hAnsi="Times New Roman" w:eastAsia="黑体" w:cs="Times New Roman"/>
      <w:sz w:val="32"/>
      <w:lang w:val="en-US" w:eastAsia="zh-CN" w:bidi="ar-SA"/>
    </w:rPr>
  </w:style>
  <w:style w:type="character" w:customStyle="1" w:styleId="24">
    <w:name w:val="批注文字 字符"/>
    <w:basedOn w:val="8"/>
    <w:link w:val="2"/>
    <w:qFormat/>
    <w:uiPriority w:val="99"/>
    <w:rPr>
      <w:rFonts w:ascii="Calibri" w:hAnsi="Calibri" w:eastAsia="宋体" w:cs="Times New Roman"/>
      <w:kern w:val="2"/>
      <w:sz w:val="21"/>
      <w:szCs w:val="22"/>
    </w:rPr>
  </w:style>
  <w:style w:type="paragraph" w:customStyle="1" w:styleId="25">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6">
    <w:name w:val="批注主题 字符"/>
    <w:basedOn w:val="24"/>
    <w:link w:val="6"/>
    <w:semiHidden/>
    <w:qFormat/>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12</Pages>
  <Words>5612</Words>
  <Characters>5943</Characters>
  <Lines>54</Lines>
  <Paragraphs>15</Paragraphs>
  <TotalTime>6</TotalTime>
  <ScaleCrop>false</ScaleCrop>
  <LinksUpToDate>false</LinksUpToDate>
  <CharactersWithSpaces>5981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2021-10-29T05:02:00Z</dcterms:created>
  <dc:creator>Lenovo User</dc:creator>
  <cp:lastModifiedBy>金蕾</cp:lastModifiedBy>
  <dcterms:modified xsi:type="dcterms:W3CDTF">2022-12-13T07:51:34Z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41AF8D49C09F477E8EECF564643522C7</vt:lpwstr>
  </property>
</Properties>
</file>