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ascii="仿宋" w:hAnsi="仿宋" w:eastAsia="仿宋"/>
          <w:b/>
          <w:bCs/>
          <w:sz w:val="36"/>
          <w:szCs w:val="36"/>
        </w:rPr>
      </w:pPr>
      <w:r>
        <w:rPr>
          <w:rFonts w:hint="eastAsia" w:ascii="仿宋" w:hAnsi="仿宋" w:eastAsia="仿宋"/>
          <w:b/>
          <w:bCs/>
          <w:sz w:val="36"/>
          <w:szCs w:val="36"/>
        </w:rPr>
        <w:t>《</w:t>
      </w:r>
      <w:bookmarkStart w:id="0" w:name="_Hlk96259108"/>
      <w:r>
        <w:rPr>
          <w:rFonts w:hint="eastAsia" w:ascii="仿宋" w:hAnsi="仿宋" w:eastAsia="仿宋"/>
          <w:b/>
          <w:bCs/>
          <w:sz w:val="36"/>
          <w:szCs w:val="36"/>
        </w:rPr>
        <w:t>仓单要素与格式规范</w:t>
      </w:r>
      <w:bookmarkEnd w:id="0"/>
      <w:r>
        <w:rPr>
          <w:rFonts w:hint="eastAsia" w:ascii="仿宋" w:hAnsi="仿宋" w:eastAsia="仿宋"/>
          <w:b/>
          <w:bCs/>
          <w:sz w:val="36"/>
          <w:szCs w:val="36"/>
        </w:rPr>
        <w:t>》国家标准（征求意见稿）</w:t>
      </w:r>
    </w:p>
    <w:p>
      <w:pPr>
        <w:tabs>
          <w:tab w:val="left" w:pos="7200"/>
        </w:tabs>
        <w:jc w:val="center"/>
        <w:rPr>
          <w:rFonts w:ascii="仿宋" w:hAnsi="仿宋" w:eastAsia="仿宋"/>
          <w:b/>
          <w:bCs/>
          <w:sz w:val="36"/>
          <w:szCs w:val="36"/>
        </w:rPr>
      </w:pPr>
      <w:r>
        <w:rPr>
          <w:rFonts w:hint="eastAsia" w:ascii="仿宋" w:hAnsi="仿宋" w:eastAsia="仿宋"/>
          <w:b/>
          <w:bCs/>
          <w:sz w:val="36"/>
          <w:szCs w:val="36"/>
        </w:rPr>
        <w:t>编制说明</w:t>
      </w:r>
    </w:p>
    <w:p>
      <w:pPr>
        <w:jc w:val="center"/>
        <w:rPr>
          <w:rFonts w:ascii="仿宋" w:hAnsi="仿宋" w:eastAsia="仿宋"/>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rFonts w:ascii="黑体" w:hAnsi="黑体" w:eastAsia="黑体" w:cs="黑体"/>
          <w:sz w:val="28"/>
          <w:szCs w:val="28"/>
        </w:rPr>
      </w:pPr>
      <w:r>
        <w:rPr>
          <w:rFonts w:hint="eastAsia" w:ascii="黑体" w:hAnsi="黑体" w:eastAsia="黑体" w:cs="黑体"/>
          <w:sz w:val="28"/>
          <w:szCs w:val="28"/>
        </w:rPr>
        <w:t>一、工作简况</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sz w:val="28"/>
          <w:szCs w:val="28"/>
        </w:rPr>
        <w:t>（一）任务来源</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本文件由全国物流标准化技术委员会提出并归口，2022年12月经国家标准化管理委员会批准，《仓单要素与格式规范》被列入国家标准制修订计划，项目编号：20221061-T-469，外文编号：W20222620。</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（二）制定背景</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国家标准《仓单要素与格式规范》（GBT 30332-2013）于2013年发布，标准自实施以来，对我国仓储企业在提高仓单的规范出具、保障各方合法权益方面起到了积极作用。标准制定的法律基础是《合同法》、《物权法》。《合同法》第三百八十五条明确“存货人交付仓储物的，保管人应当给付仓单。” 《物权法》又明确“仓单”可以出质，但在物流实际工作中却很少见到“仓单”，更多的是“入库单”。2021年1月1日《合同法》、《物权法》废止，《民法典》正式实施。《民法典》第九百零八条明确“存货人交付仓储物的，保管人应当出具仓单、入库单等凭证”。同时第四百四十条明确“仓单”可以出质。随着信息技术的进度，仓单已经实现电子化，但国家标准《仓单要素与格式规范》中仅涉及纸质仓单的印制与填写要求，也应进一步调整，并提出电子化仓单的相关要求，包括电子签章等。同时，由于仓单的电子化，其可以承载更多的信息，所以，仓单的要素也要根据市场的变化而进行相应的调整或增加。</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修订《仓单要素与格式规范》国家标准，不仅将更好地体现《民法典》物权篇中货物所有人的权益，有利于促进与规范仓储服务业务的开展，有利于行业对仓单的概念、功能和要素达成相关共识，减少仓单的重复出具，保障仓单与存货的一一对应关系，也将进一步推动仓单质押融资、仓单转让等业务的开展。对落实国务院“鼓励发展订单、仓单、应收账款融资等供应链金融产品”， 落实八部委《关于规范发展供应链金融、支持供应链产业链稳定循环和优化升级的意见》，维护社会经济秩序，推动我国经济的发展，具有十分重要的意义。本标准旨在细化《民法典》中仓单的事项，为规范业内企业出具标准化仓单提供依据，引导企业出具标准化仓单，为信贷机构、贸易机构、交易机构提供标准化仓单，促进仓单的交易和融资，进而解决实体经济问题。</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sz w:val="28"/>
          <w:szCs w:val="28"/>
        </w:rPr>
        <w:t>（三）起草过程</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1、预阶段</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2021年5月1日至2021年6月30日期间，全国物流标准化技术委员会物流作业分技术委员会对标准的实施情况进行了评估。对9家地方行业协会及15家企业问卷调查，同时还对全国10家仓储企业进行了实地调研，对标准的技术内容、标准的实施及推广情况、标准的执行情况、标准的实施效益进行了评估，其中重点对标准的科学性、适用性、先进性及协调性进行了分析。</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2、立项阶段</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2022年2月，标准牵头起草单位中国仓协提交了修订草案、调研报告、建议书等材料。</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3、起草阶段</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在提交标准立项资料后，标准牵头起草单位中国仓协开展了调研工作，于2022年8月26日上午到“上期所”调研交流，上期所副总经理陆丰、场外业务部总监鲍建平及相关部门人员参与。与会人员建议，在国家标准修订过程中，应该考虑为了恢复交易机构和信贷机构的信心，现货仓单也应进行仓单信息登记，以使仓单更加透明。</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2022年9月15日下午，中国仓协到“郑商所”调研。郑商所副总经理王晓明、法律事务部总监张志、交割部总监常远、衍生品部副总监张超及相关部门负责人参与交流。与会人员建议，国家标准修订工作，应建立仓单登记查询的机制、明确仓单出具仓库的具体位置。</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cs="楷体"/>
          <w:sz w:val="28"/>
          <w:szCs w:val="28"/>
        </w:rPr>
        <w:t>2022年12月，经国家标准化管理委员会批准，《仓单要素与格式规范》被列入国家标准制修订计划，项目编号：20221061-T-469，外文编号：W20222620。接到正式立项通知后，中国仓协组织召集原标准起草单位、新增起草单位成立标准起草小组并召开首次起草小组会。起草小组主要成员包括中国仓储与配送协会、中国期货业协会、北京全国棉花交易市场有限责任公司、银行间市场清算所股份有限公司、北京交通大学国家经济安全研究院、上海场外大宗商品衍生品协会、中仓登数据服务有限公司等。起草小组达成如下共识：鉴于标准的复杂性以及仓单业务涉及主体的多角色，标准需要多方共同解决相关问题，并应组织多场研讨会。标准起草小组在最初起草阶段，进行了大致分工：</w:t>
      </w:r>
      <w:r>
        <w:rPr>
          <w:rFonts w:hint="eastAsia" w:ascii="仿宋" w:hAnsi="仿宋" w:eastAsia="仿宋"/>
          <w:sz w:val="28"/>
          <w:szCs w:val="28"/>
        </w:rPr>
        <w:t>北京交通大学国家经济安全研究院、北京大学法学院负责</w:t>
      </w:r>
      <w:r>
        <w:rPr>
          <w:rFonts w:hint="eastAsia" w:ascii="仿宋" w:hAnsi="仿宋" w:eastAsia="仿宋" w:cs="仿宋"/>
          <w:bCs/>
          <w:kern w:val="0"/>
          <w:sz w:val="28"/>
          <w:szCs w:val="28"/>
        </w:rPr>
        <w:t>收集现行法律规定；</w:t>
      </w:r>
      <w:r>
        <w:rPr>
          <w:rFonts w:hint="eastAsia" w:ascii="仿宋" w:hAnsi="仿宋" w:eastAsia="仿宋"/>
          <w:sz w:val="28"/>
          <w:szCs w:val="28"/>
        </w:rPr>
        <w:t>银行间市场清算所股份有限公司、上海场外大宗商品衍生品协会、中仓登数据服务有限公司负责收集实践中的突出问题；中国仓储与配送协会、中国期货业协会负责明确标准要解决的问题。</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依据分工，2023年4月27日，标准起草小组在北京交通大学国家经济安全研究院召开了国家标准《仓单要素与格式规范》修订工作首次研讨会，世界银行集团国际金融公司相关专家也参与了讨论。会议认为，仓单国家标准的修订，应适当借鉴、参考正在起草中的国际《仓单示范法》的条款，在要素方面，增加仓单登记与查询，仓库位置明确，仓单应有唯一编码等。明确了标准修订的主要方向及思路，并形成了标准草案。</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依据分工，2023年6月4日下午，起草小组在北京召开国家标准《仓单要素与格式规范》修订工作法律专家座谈会。除起草小组成员外，相关立法专家、司法专家、</w:t>
      </w:r>
      <w:r>
        <w:rPr>
          <w:rFonts w:hint="eastAsia" w:ascii="仿宋" w:hAnsi="仿宋" w:eastAsia="仿宋" w:cs="仿宋"/>
          <w:bCs/>
          <w:kern w:val="0"/>
          <w:sz w:val="28"/>
          <w:szCs w:val="28"/>
        </w:rPr>
        <w:t>中国银行法学会、北京仲裁委员会等专家进行了讨论。</w:t>
      </w:r>
      <w:r>
        <w:rPr>
          <w:rFonts w:hint="eastAsia" w:ascii="仿宋" w:hAnsi="仿宋" w:eastAsia="仿宋" w:cs="楷体"/>
          <w:sz w:val="28"/>
          <w:szCs w:val="28"/>
        </w:rPr>
        <w:t>与会专家建议：（1）国家标准《仓单要素与格式规范》的修订要重点解决如何识别“仓单”问题；（2）国家标准的适用范围应该包括所有场景下的仓单；（3）在仓单要素设置上要充分考虑仓单的交易与融资两类主要用途；（4）基于目前仓单的断点主要在“控货”与“控权”两个方面，与会专家建议通过仓单登记打通这两个断点，同时充分利用技术的进步，以保障货单一致；（5）关于仓单信息的公示，要考虑交付、背书、登记的效力问题，特别是登记方面，只有尽可能的统一登记才能达到公示的意义；（6）《民法典》共有八项仓单记载事项，其中（一）（二）（四）（八）为绝对必要记载事项，另外四项为相对必要记载事项。会后根据专家意见初步形成了标准征求意见稿草案。</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依据分工，2023年7月7日，起草小组在上海场外大宗商品衍生品协会举办国家标准《仓单要素与格式规范》修订工作的期货与现货仓单交易专家座谈会。除起草小组成员外，上海期货交易所、大连商品交易所、上海有色网金属交易中心、上海国际棉花交易中心、新湖期货股份有限公司、中信寰球商贸有限公司、国泰君安风险管理有限公司、宏源恒利（上海）实业有限公司、张家港保税科技集团电子商务有限公司的相关负责人参加了标准的座谈交流。与会专家一致认为：（1）国家标准《仓单要素与格式规范》是仓单出具、融资和交易的基础，应当回归业务的本源，重点解决“仓单”的识别问题；（2）仓储管理企业及其仓库，作为仓单出具的主体，行业协会应对其服务能力进行评价；（3）仓单的信息应建立批露机制，展示真实情况。起草小组依据讨论结果，对标准进行了修改。</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7月1</w:t>
      </w:r>
      <w:r>
        <w:rPr>
          <w:rFonts w:ascii="仿宋" w:hAnsi="仿宋" w:eastAsia="仿宋" w:cs="楷体"/>
          <w:sz w:val="28"/>
          <w:szCs w:val="28"/>
        </w:rPr>
        <w:t>0</w:t>
      </w:r>
      <w:r>
        <w:rPr>
          <w:rFonts w:hint="eastAsia" w:ascii="仿宋" w:hAnsi="仿宋" w:eastAsia="仿宋" w:cs="楷体"/>
          <w:sz w:val="28"/>
          <w:szCs w:val="28"/>
        </w:rPr>
        <w:t>日-</w:t>
      </w:r>
      <w:r>
        <w:rPr>
          <w:rFonts w:ascii="仿宋" w:hAnsi="仿宋" w:eastAsia="仿宋" w:cs="楷体"/>
          <w:sz w:val="28"/>
          <w:szCs w:val="28"/>
        </w:rPr>
        <w:t>7</w:t>
      </w:r>
      <w:r>
        <w:rPr>
          <w:rFonts w:hint="eastAsia" w:ascii="仿宋" w:hAnsi="仿宋" w:eastAsia="仿宋" w:cs="楷体"/>
          <w:sz w:val="28"/>
          <w:szCs w:val="28"/>
        </w:rPr>
        <w:t>月</w:t>
      </w:r>
      <w:r>
        <w:rPr>
          <w:rFonts w:ascii="仿宋" w:hAnsi="仿宋" w:eastAsia="仿宋" w:cs="楷体"/>
          <w:sz w:val="28"/>
          <w:szCs w:val="28"/>
        </w:rPr>
        <w:t>21</w:t>
      </w:r>
      <w:r>
        <w:rPr>
          <w:rFonts w:hint="eastAsia" w:ascii="仿宋" w:hAnsi="仿宋" w:eastAsia="仿宋" w:cs="楷体"/>
          <w:sz w:val="28"/>
          <w:szCs w:val="28"/>
        </w:rPr>
        <w:t>日，标准牵头起草单位中国仓协征求了协会会员企业：中储棉荷泽有限公司、首农（天津）供应链管理有限公司、甘肃公航旅金融仓储有限公司、中信梧桐港供应链管理有限公司、浙江长运安信仓储服务有限公司、陕西物流集团等仓储物流企业的意见，并依据相关意见，对标准进行了修改。</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cs="楷体"/>
          <w:sz w:val="28"/>
          <w:szCs w:val="28"/>
        </w:rPr>
        <w:t>7月中旬，起草小组根据调研情况、专家研讨会意见，经整理汇总，对标准征求意见稿草案进行了进一步修改完善，于7月25日完成了标准征求意见稿及相关文件。</w:t>
      </w:r>
    </w:p>
    <w:p>
      <w:pPr>
        <w:keepNext w:val="0"/>
        <w:keepLines w:val="0"/>
        <w:pageBreakBefore w:val="0"/>
        <w:kinsoku/>
        <w:wordWrap/>
        <w:overflowPunct/>
        <w:topLinePunct w:val="0"/>
        <w:autoSpaceDE/>
        <w:autoSpaceDN/>
        <w:bidi w:val="0"/>
        <w:adjustRightInd/>
        <w:snapToGrid/>
        <w:ind w:firstLine="560" w:firstLineChars="200"/>
        <w:textAlignment w:val="auto"/>
        <w:rPr>
          <w:rFonts w:ascii="黑体" w:hAnsi="黑体" w:eastAsia="黑体" w:cs="黑体"/>
          <w:sz w:val="28"/>
          <w:szCs w:val="28"/>
        </w:rPr>
      </w:pPr>
      <w:r>
        <w:rPr>
          <w:rFonts w:hint="eastAsia" w:ascii="黑体" w:hAnsi="黑体" w:eastAsia="黑体" w:cs="黑体"/>
          <w:sz w:val="28"/>
          <w:szCs w:val="28"/>
        </w:rPr>
        <w:t>二、编制原则、主要内容及其确定依据</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sz w:val="28"/>
          <w:szCs w:val="28"/>
        </w:rPr>
        <w:t>（一）编制原则</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cs="仿宋"/>
          <w:bCs/>
          <w:kern w:val="0"/>
          <w:sz w:val="28"/>
          <w:szCs w:val="28"/>
        </w:rPr>
        <w:t>本文件严格按照《GB/T 1.1-2020 标准化工作导则  第1部分：标准化文件的结构和起草规则》编写。在编写时，同样注重标准内容的科学性、协调性、实用性，注重与其他相关标准的协调统一性。</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sz w:val="28"/>
          <w:szCs w:val="28"/>
        </w:rPr>
        <w:t>（二）主要内容及其确定依据</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1、范围</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本文件界定了仓单的基本要求、类型、要素与格式。本文件适用于现货仓单与期货仓单 的出具和流转活动。</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2、标准主要内容</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3</w:t>
      </w:r>
      <w:r>
        <w:rPr>
          <w:rFonts w:hint="eastAsia" w:ascii="仿宋" w:hAnsi="仿宋" w:eastAsia="仿宋" w:cs="仿宋"/>
          <w:bCs/>
          <w:kern w:val="0"/>
          <w:sz w:val="28"/>
          <w:szCs w:val="28"/>
        </w:rPr>
        <w:t>章规范了仓单的相关术语和定义。</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第4章规范了仓单的基本要求。从仓单出具人签单，仓单列明仓储物情况、仓库位置及具体库位信息，仓单应有唯一编码及符合相应格式，仓单应进行登记等方面进行了规范。</w:t>
      </w:r>
    </w:p>
    <w:p>
      <w:pPr>
        <w:pStyle w:val="15"/>
        <w:keepNext w:val="0"/>
        <w:keepLines w:val="0"/>
        <w:pageBreakBefore w:val="0"/>
        <w:widowControl/>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第5章规范了仓单的类型。</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第6章主要规范了仓单的必备要素与可选要素。必备要素共2</w:t>
      </w:r>
      <w:r>
        <w:rPr>
          <w:rFonts w:ascii="仿宋" w:hAnsi="仿宋" w:eastAsia="仿宋" w:cs="仿宋"/>
          <w:bCs/>
          <w:kern w:val="0"/>
          <w:sz w:val="28"/>
          <w:szCs w:val="28"/>
        </w:rPr>
        <w:t>9</w:t>
      </w:r>
      <w:r>
        <w:rPr>
          <w:rFonts w:hint="eastAsia" w:ascii="仿宋" w:hAnsi="仿宋" w:eastAsia="仿宋" w:cs="仿宋"/>
          <w:bCs/>
          <w:kern w:val="0"/>
          <w:sz w:val="28"/>
          <w:szCs w:val="28"/>
        </w:rPr>
        <w:t>项，可选要素共1</w:t>
      </w:r>
      <w:r>
        <w:rPr>
          <w:rFonts w:ascii="仿宋" w:hAnsi="仿宋" w:eastAsia="仿宋" w:cs="仿宋"/>
          <w:bCs/>
          <w:kern w:val="0"/>
          <w:sz w:val="28"/>
          <w:szCs w:val="28"/>
        </w:rPr>
        <w:t>7</w:t>
      </w:r>
      <w:r>
        <w:rPr>
          <w:rFonts w:hint="eastAsia" w:ascii="仿宋" w:hAnsi="仿宋" w:eastAsia="仿宋" w:cs="仿宋"/>
          <w:bCs/>
          <w:kern w:val="0"/>
          <w:sz w:val="28"/>
          <w:szCs w:val="28"/>
        </w:rPr>
        <w:t>项。</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第7章主要规范了仓单格式。并给出了参考示例。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楷体"/>
          <w:sz w:val="28"/>
          <w:szCs w:val="28"/>
        </w:rPr>
      </w:pPr>
      <w:r>
        <w:rPr>
          <w:rFonts w:hint="eastAsia" w:ascii="仿宋" w:hAnsi="仿宋" w:eastAsia="仿宋"/>
          <w:sz w:val="28"/>
          <w:szCs w:val="28"/>
        </w:rPr>
        <w:t>（三）修订前后技术内容对比</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本标准共由</w:t>
      </w:r>
      <w:r>
        <w:rPr>
          <w:rFonts w:ascii="仿宋" w:hAnsi="仿宋" w:eastAsia="仿宋" w:cs="仿宋"/>
          <w:bCs/>
          <w:kern w:val="0"/>
          <w:sz w:val="28"/>
          <w:szCs w:val="28"/>
        </w:rPr>
        <w:t>7</w:t>
      </w:r>
      <w:r>
        <w:rPr>
          <w:rFonts w:hint="eastAsia" w:ascii="仿宋" w:hAnsi="仿宋" w:eastAsia="仿宋" w:cs="仿宋"/>
          <w:bCs/>
          <w:kern w:val="0"/>
          <w:sz w:val="28"/>
          <w:szCs w:val="28"/>
        </w:rPr>
        <w:t>章组成（原标准为</w:t>
      </w:r>
      <w:r>
        <w:rPr>
          <w:rFonts w:ascii="仿宋" w:hAnsi="仿宋" w:eastAsia="仿宋" w:cs="仿宋"/>
          <w:bCs/>
          <w:kern w:val="0"/>
          <w:sz w:val="28"/>
          <w:szCs w:val="28"/>
        </w:rPr>
        <w:t>6</w:t>
      </w:r>
      <w:r>
        <w:rPr>
          <w:rFonts w:hint="eastAsia" w:ascii="仿宋" w:hAnsi="仿宋" w:eastAsia="仿宋" w:cs="仿宋"/>
          <w:bCs/>
          <w:kern w:val="0"/>
          <w:sz w:val="28"/>
          <w:szCs w:val="28"/>
        </w:rPr>
        <w:t>章），除编辑性修改外，主要技术变化如下：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bCs/>
          <w:kern w:val="0"/>
          <w:sz w:val="28"/>
          <w:szCs w:val="28"/>
        </w:rPr>
      </w:pPr>
      <w:r>
        <w:rPr>
          <w:rFonts w:hint="eastAsia" w:ascii="仿宋" w:hAnsi="仿宋" w:eastAsia="仿宋" w:cs="仿宋"/>
          <w:bCs/>
          <w:kern w:val="0"/>
          <w:sz w:val="28"/>
          <w:szCs w:val="28"/>
        </w:rPr>
        <w:t>——删除了“引言”的内容（见2013年版的引言）；</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——更改了“范围”的内容（见第1章，2013年版的第1章）；</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——更改了“仓单”的定义（见3.1，2013年版的3.1）；增加了“仓单出具人”的定义（见3.4）；删除了“保兑人”的定义（见2014年版的3.4）；</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——增加了“基本要求”的内容（见第4章）；</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——更改了“仓单类型”的分类（见第5章，见2013年版的第4章）；</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必备要素”的内容：更改了“仓单字样”“仓单编号”“仓单填发日期”“存货人名称”“存货人住所”“仓储物名称”“仓储物规格”“仓储物包装”“仓储物计量单位”“仓储物数量”“仓储场所”“仓储物标记”“凭证权利提示”“仓库发货日期”“被背书人签单” “背书人签单”“保管人背书签章”“背书日期”“仓单持有人提取货物签章”“提货人有效证件”的可选择用语与填写要求；删除了“交货人”“收货人”“仓储物损耗标准”“仓储费率”“仓储物价格”“提货人”要素内容；增加了“仓单信息登记”“仓单登记时间”“仓单注销时间”“仓储物计量方式”“存货库位及货位号”“仓单出具人名称”“存货人或仓单持有人声明”“出质人签单”“质权人签单”要素内容类方式（见6.1表1，2013年版的5.1表1）；</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——更改了“可选要素”的内容：增加了“仓储物损耗标准”“储存期限”“仓储费”“仓储物保险类型” “仓储物价格”“存货所有权证明”“存货质检证明”“存货质检单位”“交易或融资争议解决方式”“仓单质权设立方式”“备注”要素内容；更改了“仓储物保险金额”“仓储物保险期间”“仓储物保险人名称”“仓储合同信息”“附件”的可选择用语与填写说明；删除了“复核、记账”“货品编码”“保兑字样”“仓单保兑人签单”“存货库位”“电子签名栏”要素内容（见6.2表2，2013年版的5.2表2）；</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——增加了仓单的格式（见第7章）；</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——删除了仓单的印制与填写（见2013年版的第6章）；</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——删除了“附录A”的内容（见2013年版的附录A）；</w:t>
      </w:r>
    </w:p>
    <w:p>
      <w:pPr>
        <w:pStyle w:val="15"/>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eastAsia="仿宋" w:cs="仿宋"/>
          <w:bCs/>
          <w:kern w:val="0"/>
          <w:sz w:val="28"/>
          <w:szCs w:val="28"/>
        </w:rPr>
      </w:pPr>
      <w:r>
        <w:rPr>
          <w:rFonts w:hint="eastAsia" w:ascii="仿宋" w:hAnsi="仿宋" w:eastAsia="仿宋" w:cs="仿宋"/>
          <w:bCs/>
          <w:kern w:val="0"/>
          <w:sz w:val="28"/>
          <w:szCs w:val="28"/>
        </w:rPr>
        <w:t>——更改了“附录B”的内容（见附录A,2013年版的附录B）。各章节新增、修改和删除内容及原因如下：</w:t>
      </w:r>
    </w:p>
    <w:p>
      <w:pPr>
        <w:pStyle w:val="15"/>
        <w:widowControl/>
        <w:ind w:firstLine="562"/>
        <w:rPr>
          <w:rFonts w:ascii="仿宋" w:hAnsi="仿宋" w:eastAsia="仿宋" w:cs="楷体"/>
          <w:bCs/>
          <w:kern w:val="0"/>
          <w:sz w:val="28"/>
          <w:szCs w:val="28"/>
        </w:rPr>
      </w:pPr>
      <w:r>
        <w:rPr>
          <w:rFonts w:hint="eastAsia" w:ascii="仿宋" w:hAnsi="仿宋" w:eastAsia="仿宋" w:cs="仿宋"/>
          <w:b/>
          <w:kern w:val="0"/>
          <w:sz w:val="28"/>
          <w:szCs w:val="28"/>
        </w:rPr>
        <w:t>1、第1章“范围”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原标准</w:t>
            </w:r>
          </w:p>
        </w:tc>
        <w:tc>
          <w:tcPr>
            <w:tcW w:w="4015"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本标准规定了仓单类型、要素、印制与填写要求。</w:t>
            </w:r>
          </w:p>
        </w:tc>
        <w:tc>
          <w:tcPr>
            <w:tcW w:w="4015"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本文件界定了仓单的基本要求、类型、要素与格式。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本</w:t>
            </w:r>
            <w:bookmarkStart w:id="1" w:name="_Hlk141085756"/>
            <w:r>
              <w:rPr>
                <w:rFonts w:hint="eastAsia" w:ascii="仿宋" w:hAnsi="仿宋" w:eastAsia="仿宋" w:cs="仿宋"/>
                <w:bCs/>
                <w:kern w:val="0"/>
                <w:sz w:val="24"/>
                <w:szCs w:val="24"/>
              </w:rPr>
              <w:t>仓储活动中使用的普通仓单</w:t>
            </w:r>
            <w:bookmarkEnd w:id="1"/>
            <w:r>
              <w:rPr>
                <w:rFonts w:hint="eastAsia" w:ascii="仿宋" w:hAnsi="仿宋" w:eastAsia="仿宋" w:cs="仿宋"/>
                <w:bCs/>
                <w:kern w:val="0"/>
                <w:sz w:val="24"/>
                <w:szCs w:val="24"/>
              </w:rPr>
              <w:t>标准适用于仓储活动中使用的普通仓单，质押融资业务、期货交易中的可流转仓单等。</w:t>
            </w:r>
          </w:p>
        </w:tc>
        <w:tc>
          <w:tcPr>
            <w:tcW w:w="4015"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本文件适用于现货仓单与期货仓单 的出具和流转活动。</w:t>
            </w:r>
          </w:p>
        </w:tc>
      </w:tr>
    </w:tbl>
    <w:p>
      <w:pPr>
        <w:pStyle w:val="15"/>
        <w:widowControl/>
        <w:ind w:firstLine="560"/>
        <w:rPr>
          <w:rFonts w:ascii="仿宋" w:hAnsi="仿宋" w:eastAsia="仿宋" w:cs="仿宋"/>
          <w:bCs/>
          <w:kern w:val="0"/>
          <w:sz w:val="28"/>
          <w:szCs w:val="28"/>
        </w:rPr>
      </w:pPr>
      <w:r>
        <w:rPr>
          <w:rFonts w:hint="eastAsia" w:ascii="仿宋" w:hAnsi="仿宋" w:eastAsia="仿宋" w:cs="仿宋"/>
          <w:bCs/>
          <w:kern w:val="0"/>
          <w:sz w:val="28"/>
          <w:szCs w:val="28"/>
        </w:rPr>
        <w:t>修订原因：《民法典》已经对仓单进行了明确，入库单已经不在是仓单，因此，删除了“仓储活动中使用的普通仓单”。</w:t>
      </w:r>
    </w:p>
    <w:p>
      <w:pPr>
        <w:pStyle w:val="15"/>
        <w:widowControl/>
        <w:ind w:firstLine="562"/>
        <w:rPr>
          <w:rFonts w:ascii="仿宋" w:hAnsi="仿宋" w:eastAsia="仿宋" w:cs="仿宋"/>
          <w:b/>
          <w:kern w:val="0"/>
          <w:sz w:val="28"/>
          <w:szCs w:val="28"/>
        </w:rPr>
      </w:pPr>
      <w:r>
        <w:rPr>
          <w:rFonts w:hint="eastAsia" w:ascii="仿宋" w:hAnsi="仿宋" w:eastAsia="仿宋" w:cs="仿宋"/>
          <w:b/>
          <w:kern w:val="0"/>
          <w:sz w:val="28"/>
          <w:szCs w:val="28"/>
        </w:rPr>
        <w:t>2、第3章“术语和定义”</w:t>
      </w:r>
    </w:p>
    <w:p>
      <w:pPr>
        <w:pStyle w:val="16"/>
        <w:ind w:firstLine="562"/>
        <w:rPr>
          <w:rFonts w:ascii="仿宋" w:hAnsi="仿宋" w:eastAsia="仿宋"/>
          <w:b/>
          <w:sz w:val="28"/>
          <w:szCs w:val="28"/>
        </w:rPr>
      </w:pPr>
      <w:r>
        <w:rPr>
          <w:rFonts w:hint="eastAsia" w:ascii="仿宋" w:hAnsi="仿宋" w:eastAsia="仿宋"/>
          <w:b/>
          <w:sz w:val="28"/>
          <w:szCs w:val="28"/>
        </w:rPr>
        <w:t>（1）仓单的定义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原标准</w:t>
            </w:r>
          </w:p>
        </w:tc>
        <w:tc>
          <w:tcPr>
            <w:tcW w:w="4015"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仓储保管人在与存货人签订仓储保管合同的基础上，按照行业惯例，以表面审查、外观查验为一般原则，对存货人所交付的仓储物品进行验收之后出具的权利凭证。</w:t>
            </w:r>
          </w:p>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[GB/T 18354-2006，定义3.22]</w:t>
            </w:r>
          </w:p>
        </w:tc>
        <w:tc>
          <w:tcPr>
            <w:tcW w:w="4015"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保管人 （3.3）在与存货人签订仓储合同且已收到仓储物的基础上出具的，具备规定要素与格式的，并经登记的，仓单持有人（3.6）据以提取仓储物的权利凭证。</w:t>
            </w:r>
          </w:p>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［来源：GB/T 18354-2021，4.36，有修改］</w:t>
            </w:r>
          </w:p>
        </w:tc>
      </w:tr>
    </w:tbl>
    <w:p>
      <w:pPr>
        <w:pStyle w:val="16"/>
        <w:ind w:firstLine="560"/>
        <w:rPr>
          <w:rFonts w:ascii="仿宋" w:hAnsi="仿宋" w:eastAsia="仿宋"/>
          <w:bCs/>
          <w:kern w:val="2"/>
          <w:sz w:val="28"/>
          <w:szCs w:val="28"/>
        </w:rPr>
      </w:pPr>
      <w:r>
        <w:rPr>
          <w:rFonts w:hint="eastAsia" w:ascii="仿宋" w:hAnsi="仿宋" w:eastAsia="仿宋" w:cs="仿宋"/>
          <w:bCs/>
          <w:sz w:val="28"/>
          <w:szCs w:val="28"/>
        </w:rPr>
        <w:t>修订原因：</w:t>
      </w:r>
      <w:r>
        <w:rPr>
          <w:rFonts w:hint="eastAsia" w:ascii="仿宋" w:hAnsi="仿宋" w:eastAsia="仿宋"/>
          <w:bCs/>
          <w:sz w:val="28"/>
          <w:szCs w:val="28"/>
        </w:rPr>
        <w:t>修订前的国家标准关于“仓单的定义”是引用</w:t>
      </w:r>
      <w:r>
        <w:rPr>
          <w:rFonts w:ascii="仿宋" w:hAnsi="仿宋" w:eastAsia="仿宋"/>
          <w:bCs/>
          <w:sz w:val="28"/>
          <w:szCs w:val="28"/>
        </w:rPr>
        <w:t>GB/T 18354-2006</w:t>
      </w:r>
      <w:r>
        <w:rPr>
          <w:rFonts w:hint="eastAsia" w:ascii="仿宋" w:hAnsi="仿宋" w:eastAsia="仿宋"/>
          <w:bCs/>
          <w:sz w:val="28"/>
          <w:szCs w:val="28"/>
        </w:rPr>
        <w:t>的定义，即“仓储保管人在与存货人签订仓储保管合同的基础上，按照行业惯例，以表面审查、外观查验为一般原则，对存货人所交付的仓储物品进行验收之后出具的权利凭证。”，当时，</w:t>
      </w:r>
      <w:r>
        <w:rPr>
          <w:rFonts w:hint="eastAsia" w:ascii="仿宋" w:hAnsi="仿宋" w:eastAsia="仿宋"/>
          <w:bCs/>
          <w:kern w:val="2"/>
          <w:sz w:val="28"/>
          <w:szCs w:val="28"/>
        </w:rPr>
        <w:t>《合同法》第三百八十五条明确“存货人交付仓储物的，保管人应当给付仓单。”</w:t>
      </w:r>
      <w:r>
        <w:rPr>
          <w:rFonts w:hint="eastAsia" w:ascii="仿宋" w:hAnsi="仿宋" w:eastAsia="仿宋"/>
          <w:sz w:val="28"/>
          <w:szCs w:val="28"/>
        </w:rPr>
        <w:t xml:space="preserve"> </w:t>
      </w:r>
      <w:r>
        <w:rPr>
          <w:rFonts w:hint="eastAsia" w:ascii="仿宋" w:hAnsi="仿宋" w:eastAsia="仿宋"/>
          <w:bCs/>
          <w:kern w:val="2"/>
          <w:sz w:val="28"/>
          <w:szCs w:val="28"/>
        </w:rPr>
        <w:t>《物权法》又明确“仓单”可以出质，但在物流实际工作中却很少见到“仓单”，更多的是“入库单”。2021年1月1日《合同法》、《物权法》废止，《民法典》正式实施。《民法典》第九百零八条明确“存货人交付仓储物的，保管人应当出具仓单、入库单等凭证”。《民法典》第四百四十条明确，</w:t>
      </w:r>
      <w:r>
        <w:rPr>
          <w:rFonts w:hint="eastAsia" w:ascii="仿宋" w:hAnsi="仿宋" w:eastAsia="仿宋"/>
          <w:sz w:val="28"/>
          <w:szCs w:val="28"/>
        </w:rPr>
        <w:t>仓单作为权利凭证、可以出质。因此，国家法律已经将仓储企业基于仓储合同出具的单据分为“仓单”“入库单”两类，为此，国家标准也应对此条进行修订。</w:t>
      </w:r>
    </w:p>
    <w:p>
      <w:pPr>
        <w:pStyle w:val="16"/>
        <w:ind w:firstLine="560"/>
        <w:rPr>
          <w:rFonts w:ascii="仿宋" w:hAnsi="仿宋" w:eastAsia="仿宋"/>
          <w:bCs/>
          <w:kern w:val="2"/>
          <w:sz w:val="28"/>
          <w:szCs w:val="28"/>
        </w:rPr>
      </w:pPr>
      <w:r>
        <w:rPr>
          <w:rFonts w:hint="eastAsia" w:ascii="仿宋" w:hAnsi="仿宋" w:eastAsia="仿宋"/>
          <w:bCs/>
          <w:kern w:val="2"/>
          <w:sz w:val="28"/>
          <w:szCs w:val="28"/>
        </w:rPr>
        <w:t>为此，修订后的国家标准，将仓单的定义为“仓储保管人在与存货人签订仓储合同的基础上，对存货人所交付的仓储物品按合同约定进行验收之后出具的，符合法律规定的，具备规定要素与格式的，并经登记的，持有人据以提取仓储物的权利凭证。”修订后的“仓单”定义，更加强调三方面的内容：一是，具备规定要素与格式的。主要原因是，《民法典》第九百零九条规定：“保管人应当在仓单上签名或者盖章。”仓单包括下列八类事项。（《民法典》中，未对其他权利凭证如此做规定）。这说明，仓单是要式证券，必须具备相应的要素与格式；二是，仓单需要进行登记。主要原因是，2</w:t>
      </w:r>
      <w:r>
        <w:rPr>
          <w:rFonts w:ascii="仿宋" w:hAnsi="仿宋" w:eastAsia="仿宋"/>
          <w:bCs/>
          <w:kern w:val="2"/>
          <w:sz w:val="28"/>
          <w:szCs w:val="28"/>
        </w:rPr>
        <w:t>022</w:t>
      </w:r>
      <w:r>
        <w:rPr>
          <w:rFonts w:hint="eastAsia" w:ascii="仿宋" w:hAnsi="仿宋" w:eastAsia="仿宋"/>
          <w:bCs/>
          <w:kern w:val="2"/>
          <w:sz w:val="28"/>
          <w:szCs w:val="28"/>
        </w:rPr>
        <w:t>年颁布的《中华人民共和国期货和衍生品法》中对于期货仓单的定义为，“</w:t>
      </w:r>
      <w:r>
        <w:rPr>
          <w:rFonts w:hint="eastAsia" w:ascii="仿宋" w:hAnsi="仿宋" w:eastAsia="仿宋" w:cs="宋体"/>
          <w:sz w:val="28"/>
          <w:szCs w:val="28"/>
        </w:rPr>
        <w:t>是指交割库开具并经期货交易场所登记的标准化提货凭证。</w:t>
      </w:r>
      <w:r>
        <w:rPr>
          <w:rFonts w:hint="eastAsia" w:ascii="仿宋" w:hAnsi="仿宋" w:eastAsia="仿宋"/>
          <w:bCs/>
          <w:kern w:val="2"/>
          <w:sz w:val="28"/>
          <w:szCs w:val="28"/>
        </w:rPr>
        <w:t>”期货仓单强调登记后生效，现货仓单也应如此。其次，仓单生成的主要目的是交易和融资，两项业务需要透明机制才能更快恢复市场对于仓单的信心；三是，强调仓单是提取仓储物的权利凭证。《民法典》第九百一十条规定：“仓单是提取仓储物的凭证”。</w:t>
      </w:r>
    </w:p>
    <w:p>
      <w:pPr>
        <w:pStyle w:val="16"/>
        <w:ind w:firstLine="562"/>
        <w:rPr>
          <w:rFonts w:ascii="仿宋" w:hAnsi="仿宋" w:eastAsia="仿宋"/>
          <w:b/>
          <w:kern w:val="2"/>
          <w:sz w:val="28"/>
          <w:szCs w:val="28"/>
        </w:rPr>
      </w:pPr>
      <w:r>
        <w:rPr>
          <w:rFonts w:hint="eastAsia" w:ascii="仿宋" w:hAnsi="仿宋" w:eastAsia="仿宋"/>
          <w:b/>
          <w:kern w:val="2"/>
          <w:sz w:val="28"/>
          <w:szCs w:val="28"/>
        </w:rPr>
        <w:t>（2）增加术语“仓单出具人”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原标准</w:t>
            </w:r>
          </w:p>
        </w:tc>
        <w:tc>
          <w:tcPr>
            <w:tcW w:w="5720"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bCs/>
                <w:kern w:val="0"/>
                <w:sz w:val="24"/>
                <w:szCs w:val="24"/>
              </w:rPr>
            </w:pPr>
            <w:r>
              <w:rPr>
                <w:rFonts w:hint="eastAsia" w:ascii="仿宋" w:hAnsi="仿宋" w:eastAsia="仿宋"/>
                <w:bCs/>
                <w:sz w:val="22"/>
              </w:rPr>
              <w:t>—</w:t>
            </w:r>
          </w:p>
        </w:tc>
        <w:tc>
          <w:tcPr>
            <w:tcW w:w="5720" w:type="dxa"/>
          </w:tcPr>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3.4　仓单出具人</w:t>
            </w:r>
          </w:p>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仓储设施与服务能力，符合相关要求、并具备出具仓单资质的保管人。</w:t>
            </w:r>
          </w:p>
          <w:p>
            <w:pPr>
              <w:pStyle w:val="15"/>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ascii="仿宋" w:hAnsi="仿宋" w:eastAsia="仿宋" w:cs="仿宋"/>
                <w:bCs/>
                <w:kern w:val="0"/>
                <w:sz w:val="24"/>
                <w:szCs w:val="24"/>
              </w:rPr>
            </w:pPr>
            <w:r>
              <w:rPr>
                <w:rFonts w:hint="eastAsia" w:ascii="仿宋" w:hAnsi="仿宋" w:eastAsia="仿宋" w:cs="仿宋"/>
                <w:bCs/>
                <w:kern w:val="0"/>
                <w:sz w:val="24"/>
                <w:szCs w:val="24"/>
              </w:rPr>
              <w:t>注：</w:t>
            </w:r>
            <w:bookmarkStart w:id="2" w:name="_Hlk141091715"/>
            <w:r>
              <w:rPr>
                <w:rFonts w:hint="eastAsia" w:ascii="仿宋" w:hAnsi="仿宋" w:eastAsia="仿宋" w:cs="仿宋"/>
                <w:bCs/>
                <w:kern w:val="0"/>
                <w:sz w:val="24"/>
                <w:szCs w:val="24"/>
              </w:rPr>
              <w:t>仓单出具人与保管人为同一法人组织。</w:t>
            </w:r>
            <w:bookmarkEnd w:id="2"/>
          </w:p>
        </w:tc>
      </w:tr>
    </w:tbl>
    <w:p>
      <w:pPr>
        <w:pStyle w:val="15"/>
        <w:widowControl/>
        <w:ind w:firstLine="560"/>
        <w:rPr>
          <w:rFonts w:ascii="仿宋" w:hAnsi="仿宋" w:eastAsia="仿宋" w:cs="仿宋"/>
          <w:bCs/>
          <w:kern w:val="0"/>
          <w:sz w:val="28"/>
          <w:szCs w:val="28"/>
        </w:rPr>
      </w:pPr>
      <w:r>
        <w:rPr>
          <w:rFonts w:hint="eastAsia" w:ascii="仿宋" w:hAnsi="仿宋" w:eastAsia="仿宋" w:cs="仿宋"/>
          <w:bCs/>
          <w:kern w:val="0"/>
          <w:sz w:val="28"/>
          <w:szCs w:val="28"/>
        </w:rPr>
        <w:t>修订原因：出具仓单，是保管人的法定义务或权利。《民法典》第908条明确规定：存货人交付仓储物的，保管人应当出具仓单、入库单等凭证。原标准中仅涉及保管人，为了强调出具仓单是保管人的法定义务或权利，且考虑到实务中，有时会出现保管人为分公司的情况 ，而仓单出具方必须是法人，因此，我们增加了仓单出具人的概念，并注明，仓单出具人与保管人须是同一法人企业主体。</w:t>
      </w:r>
    </w:p>
    <w:p>
      <w:pPr>
        <w:pStyle w:val="15"/>
        <w:widowControl/>
        <w:ind w:firstLine="562"/>
        <w:rPr>
          <w:rFonts w:ascii="仿宋" w:hAnsi="仿宋" w:eastAsia="仿宋" w:cs="仿宋"/>
          <w:b/>
          <w:kern w:val="0"/>
          <w:sz w:val="28"/>
          <w:szCs w:val="28"/>
        </w:rPr>
      </w:pPr>
      <w:r>
        <w:rPr>
          <w:rFonts w:hint="eastAsia" w:ascii="仿宋" w:hAnsi="仿宋" w:eastAsia="仿宋" w:cs="仿宋"/>
          <w:b/>
          <w:kern w:val="0"/>
          <w:sz w:val="28"/>
          <w:szCs w:val="28"/>
        </w:rPr>
        <w:t>（3）删除术语“保兑”</w:t>
      </w:r>
    </w:p>
    <w:p>
      <w:pPr>
        <w:pStyle w:val="15"/>
        <w:widowControl/>
        <w:ind w:firstLine="560"/>
        <w:rPr>
          <w:rFonts w:ascii="仿宋" w:hAnsi="仿宋" w:eastAsia="仿宋" w:cs="仿宋"/>
          <w:bCs/>
          <w:kern w:val="0"/>
          <w:sz w:val="28"/>
          <w:szCs w:val="28"/>
        </w:rPr>
      </w:pPr>
      <w:r>
        <w:rPr>
          <w:rFonts w:hint="eastAsia" w:ascii="仿宋" w:hAnsi="仿宋" w:eastAsia="仿宋" w:cs="仿宋"/>
          <w:bCs/>
          <w:kern w:val="0"/>
          <w:sz w:val="28"/>
          <w:szCs w:val="28"/>
        </w:rPr>
        <w:t>标准内容不涉及，故删除。</w:t>
      </w:r>
    </w:p>
    <w:p>
      <w:pPr>
        <w:pStyle w:val="16"/>
        <w:ind w:firstLine="562"/>
        <w:rPr>
          <w:rFonts w:ascii="仿宋" w:hAnsi="仿宋" w:eastAsia="仿宋" w:cs="仿宋"/>
          <w:b/>
          <w:sz w:val="28"/>
          <w:szCs w:val="28"/>
        </w:rPr>
      </w:pPr>
      <w:r>
        <w:rPr>
          <w:rFonts w:hint="eastAsia" w:ascii="仿宋" w:hAnsi="仿宋" w:eastAsia="仿宋" w:cs="仿宋"/>
          <w:b/>
          <w:sz w:val="28"/>
          <w:szCs w:val="28"/>
        </w:rPr>
        <w:t>3、第</w:t>
      </w:r>
      <w:r>
        <w:rPr>
          <w:rFonts w:ascii="仿宋" w:hAnsi="仿宋" w:eastAsia="仿宋" w:cs="仿宋"/>
          <w:b/>
          <w:sz w:val="28"/>
          <w:szCs w:val="28"/>
        </w:rPr>
        <w:t>4</w:t>
      </w:r>
      <w:r>
        <w:rPr>
          <w:rFonts w:hint="eastAsia" w:ascii="仿宋" w:hAnsi="仿宋" w:eastAsia="仿宋" w:cs="仿宋"/>
          <w:b/>
          <w:sz w:val="28"/>
          <w:szCs w:val="28"/>
        </w:rPr>
        <w:t>章“基本要求”</w:t>
      </w:r>
    </w:p>
    <w:p>
      <w:pPr>
        <w:pStyle w:val="16"/>
        <w:ind w:firstLine="560"/>
        <w:rPr>
          <w:rFonts w:ascii="仿宋" w:hAnsi="仿宋" w:eastAsia="仿宋"/>
          <w:bCs/>
          <w:kern w:val="2"/>
          <w:sz w:val="28"/>
          <w:szCs w:val="28"/>
        </w:rPr>
      </w:pPr>
      <w:r>
        <w:rPr>
          <w:rFonts w:hint="eastAsia" w:ascii="仿宋" w:hAnsi="仿宋" w:eastAsia="仿宋"/>
          <w:bCs/>
          <w:kern w:val="2"/>
          <w:sz w:val="28"/>
          <w:szCs w:val="28"/>
        </w:rPr>
        <w:t>本章为新增章节。经请教相关立法专家，仓单生效必须具备相应的条件，包括：仓单应有仓单出具人的签章；仓单应列明仓储物的情况；仓单应列明存放仓储物的仓库位置及具体库位；仓单应标注唯一编码，具有唯一性；仓单应进行登记，列明登记机构名称；仓单应符合相应的格式。</w:t>
      </w:r>
    </w:p>
    <w:p>
      <w:pPr>
        <w:pStyle w:val="16"/>
        <w:ind w:firstLine="560"/>
        <w:rPr>
          <w:rFonts w:ascii="仿宋" w:hAnsi="仿宋" w:eastAsia="仿宋"/>
          <w:bCs/>
          <w:kern w:val="2"/>
          <w:sz w:val="28"/>
          <w:szCs w:val="28"/>
        </w:rPr>
      </w:pPr>
      <w:r>
        <w:rPr>
          <w:rFonts w:hint="eastAsia" w:ascii="仿宋" w:hAnsi="仿宋" w:eastAsia="仿宋"/>
          <w:bCs/>
          <w:kern w:val="2"/>
          <w:sz w:val="28"/>
          <w:szCs w:val="28"/>
        </w:rPr>
        <w:t>《民法典》九百零九条明确规定了仓单的记载事项保管人应当在仓单上签名或者盖章。关于在仓单上是保管人签名是仓管员签名即可，还是要求仓库加盖公章？实践中由库管理员签章是业务操作的常态，但仓库人员流动性大，很容易在实务中出现假章抗辩。为此，本标准只保留盖章，删除了签名。</w:t>
      </w:r>
    </w:p>
    <w:p>
      <w:pPr>
        <w:pStyle w:val="16"/>
        <w:ind w:firstLine="562"/>
        <w:rPr>
          <w:rFonts w:ascii="仿宋" w:hAnsi="仿宋" w:eastAsia="仿宋"/>
          <w:bCs/>
          <w:kern w:val="2"/>
          <w:sz w:val="28"/>
          <w:szCs w:val="28"/>
        </w:rPr>
      </w:pPr>
      <w:r>
        <w:rPr>
          <w:rFonts w:hint="eastAsia" w:ascii="仿宋" w:hAnsi="仿宋" w:eastAsia="仿宋" w:cs="仿宋"/>
          <w:b/>
          <w:sz w:val="28"/>
          <w:szCs w:val="28"/>
        </w:rPr>
        <w:t>4、第</w:t>
      </w:r>
      <w:r>
        <w:rPr>
          <w:rFonts w:ascii="仿宋" w:hAnsi="仿宋" w:eastAsia="仿宋" w:cs="仿宋"/>
          <w:b/>
          <w:sz w:val="28"/>
          <w:szCs w:val="28"/>
        </w:rPr>
        <w:t>5</w:t>
      </w:r>
      <w:r>
        <w:rPr>
          <w:rFonts w:hint="eastAsia" w:ascii="仿宋" w:hAnsi="仿宋" w:eastAsia="仿宋" w:cs="仿宋"/>
          <w:b/>
          <w:sz w:val="28"/>
          <w:szCs w:val="28"/>
        </w:rPr>
        <w:t>章“仓单类型”</w:t>
      </w:r>
    </w:p>
    <w:p>
      <w:pPr>
        <w:pStyle w:val="16"/>
        <w:ind w:firstLine="560"/>
        <w:rPr>
          <w:rFonts w:ascii="仿宋" w:hAnsi="仿宋" w:eastAsia="仿宋"/>
          <w:bCs/>
          <w:spacing w:val="-6"/>
          <w:kern w:val="2"/>
          <w:sz w:val="28"/>
          <w:szCs w:val="28"/>
        </w:rPr>
      </w:pPr>
      <w:r>
        <w:rPr>
          <w:rFonts w:hint="eastAsia" w:ascii="仿宋" w:hAnsi="仿宋" w:eastAsia="仿宋"/>
          <w:bCs/>
          <w:spacing w:val="-6"/>
          <w:kern w:val="2"/>
          <w:sz w:val="28"/>
          <w:szCs w:val="28"/>
        </w:rPr>
        <w:t>修订前的国家标准，将仓单分为“普通仓单”、“可流转仓单”两类。根据上述第一点，修订后的国家标准仅指可流转的仓单。在市场中，仓单有多种分类方式，主要包括期货仓单与现货仓单、记名仓单、无记名仓单、指示仓单等。考虑到本文件规范的是仓单的要素与格式，在国家立法和司法解释文件中，分别有对“有权利凭证”“无权利凭证”等规定，因此，本文件将仓单分类更改为“纸质仓单”“电子仓单”</w:t>
      </w:r>
    </w:p>
    <w:p>
      <w:pPr>
        <w:pStyle w:val="16"/>
        <w:ind w:firstLine="562"/>
        <w:rPr>
          <w:rFonts w:ascii="仿宋" w:hAnsi="仿宋" w:eastAsia="仿宋"/>
          <w:bCs/>
          <w:kern w:val="2"/>
          <w:sz w:val="28"/>
          <w:szCs w:val="28"/>
        </w:rPr>
      </w:pPr>
      <w:r>
        <w:rPr>
          <w:rFonts w:hint="eastAsia" w:ascii="仿宋" w:hAnsi="仿宋" w:eastAsia="仿宋" w:cs="仿宋"/>
          <w:b/>
          <w:sz w:val="28"/>
          <w:szCs w:val="28"/>
        </w:rPr>
        <w:t>5、第</w:t>
      </w:r>
      <w:r>
        <w:rPr>
          <w:rFonts w:ascii="仿宋" w:hAnsi="仿宋" w:eastAsia="仿宋" w:cs="仿宋"/>
          <w:b/>
          <w:sz w:val="28"/>
          <w:szCs w:val="28"/>
        </w:rPr>
        <w:t>6</w:t>
      </w:r>
      <w:r>
        <w:rPr>
          <w:rFonts w:hint="eastAsia" w:ascii="仿宋" w:hAnsi="仿宋" w:eastAsia="仿宋" w:cs="仿宋"/>
          <w:b/>
          <w:sz w:val="28"/>
          <w:szCs w:val="28"/>
        </w:rPr>
        <w:t>章“仓单要素”</w:t>
      </w:r>
    </w:p>
    <w:p>
      <w:pPr>
        <w:pStyle w:val="16"/>
        <w:ind w:firstLine="560"/>
        <w:rPr>
          <w:rFonts w:ascii="仿宋" w:hAnsi="仿宋" w:eastAsia="仿宋"/>
          <w:bCs/>
          <w:kern w:val="2"/>
          <w:sz w:val="28"/>
          <w:szCs w:val="28"/>
        </w:rPr>
      </w:pPr>
      <w:r>
        <w:rPr>
          <w:rFonts w:hint="eastAsia" w:ascii="仿宋" w:hAnsi="仿宋" w:eastAsia="仿宋"/>
          <w:bCs/>
          <w:kern w:val="2"/>
          <w:sz w:val="28"/>
          <w:szCs w:val="28"/>
        </w:rPr>
        <w:t>（</w:t>
      </w:r>
      <w:r>
        <w:rPr>
          <w:rFonts w:ascii="仿宋" w:hAnsi="仿宋" w:eastAsia="仿宋"/>
          <w:bCs/>
          <w:kern w:val="2"/>
          <w:sz w:val="28"/>
          <w:szCs w:val="28"/>
        </w:rPr>
        <w:t>1</w:t>
      </w:r>
      <w:r>
        <w:rPr>
          <w:rFonts w:hint="eastAsia" w:ascii="仿宋" w:hAnsi="仿宋" w:eastAsia="仿宋"/>
          <w:bCs/>
          <w:kern w:val="2"/>
          <w:sz w:val="28"/>
          <w:szCs w:val="28"/>
        </w:rPr>
        <w:t>）修改仓单要素</w:t>
      </w:r>
    </w:p>
    <w:p>
      <w:pPr>
        <w:pStyle w:val="16"/>
        <w:ind w:firstLine="560"/>
        <w:rPr>
          <w:rFonts w:ascii="仿宋" w:hAnsi="仿宋" w:eastAsia="仿宋"/>
          <w:bCs/>
          <w:kern w:val="2"/>
          <w:sz w:val="28"/>
          <w:szCs w:val="28"/>
        </w:rPr>
      </w:pPr>
      <w:r>
        <w:rPr>
          <w:rFonts w:hint="eastAsia" w:ascii="仿宋" w:hAnsi="仿宋" w:eastAsia="仿宋"/>
          <w:bCs/>
          <w:kern w:val="2"/>
          <w:sz w:val="28"/>
          <w:szCs w:val="28"/>
        </w:rPr>
        <w:t>删除“普通仓单”的要素。将“可流转仓单”要素调整为“仓单正面”“仓单背书面”要素。</w:t>
      </w:r>
    </w:p>
    <w:p>
      <w:pPr>
        <w:pStyle w:val="16"/>
        <w:ind w:firstLine="560"/>
        <w:rPr>
          <w:rFonts w:ascii="仿宋" w:hAnsi="仿宋" w:eastAsia="仿宋"/>
          <w:bCs/>
          <w:kern w:val="2"/>
          <w:sz w:val="28"/>
          <w:szCs w:val="28"/>
        </w:rPr>
      </w:pPr>
      <w:r>
        <w:rPr>
          <w:rFonts w:hint="eastAsia" w:ascii="仿宋" w:hAnsi="仿宋" w:eastAsia="仿宋"/>
          <w:bCs/>
          <w:kern w:val="2"/>
          <w:sz w:val="28"/>
          <w:szCs w:val="28"/>
        </w:rPr>
        <w:t>（</w:t>
      </w:r>
      <w:r>
        <w:rPr>
          <w:rFonts w:ascii="仿宋" w:hAnsi="仿宋" w:eastAsia="仿宋"/>
          <w:bCs/>
          <w:kern w:val="2"/>
          <w:sz w:val="28"/>
          <w:szCs w:val="28"/>
        </w:rPr>
        <w:t>2</w:t>
      </w:r>
      <w:r>
        <w:rPr>
          <w:rFonts w:hint="eastAsia" w:ascii="仿宋" w:hAnsi="仿宋" w:eastAsia="仿宋"/>
          <w:bCs/>
          <w:kern w:val="2"/>
          <w:sz w:val="28"/>
          <w:szCs w:val="28"/>
        </w:rPr>
        <w:t>）增加或修改仓单的必备要素与可选要素</w:t>
      </w:r>
    </w:p>
    <w:p>
      <w:pPr>
        <w:pStyle w:val="16"/>
        <w:ind w:firstLine="560"/>
        <w:rPr>
          <w:rFonts w:ascii="仿宋" w:hAnsi="仿宋" w:eastAsia="仿宋"/>
          <w:bCs/>
          <w:sz w:val="28"/>
          <w:szCs w:val="28"/>
        </w:rPr>
      </w:pPr>
      <w:r>
        <w:rPr>
          <w:rFonts w:hint="eastAsia" w:ascii="仿宋" w:hAnsi="仿宋" w:eastAsia="仿宋"/>
          <w:bCs/>
          <w:kern w:val="2"/>
          <w:sz w:val="28"/>
          <w:szCs w:val="28"/>
        </w:rPr>
        <w:t>《民法典》第九百零九条的规定，仓单的法定必要记载事项共有八项。经请教相关立法专家及司法专家，建议，其中，（一）存货人的名称或者姓名和住所；（二）仓储物的品种、数量、质量、包装、件数和标记；（四）储存场所；（八）填发人、填发地和填发日期等四项为绝对必要记载事项，不记载则不构成有效仓单。</w:t>
      </w:r>
      <w:r>
        <w:rPr>
          <w:rFonts w:hint="eastAsia" w:ascii="仿宋" w:hAnsi="仿宋" w:eastAsia="仿宋"/>
          <w:bCs/>
          <w:sz w:val="28"/>
          <w:szCs w:val="28"/>
        </w:rPr>
        <w:t>其中，(三）仓储物的损耗标准; 各类产品不同，不一定适用所有仓储物，或者已经在仓储合同中统一约定，企业可根据需要，决定是否记载到仓单中；(五）储存期限; 有的长期储存货物，储存期限并不确定。根据实务经验，经常产生变化。同时，《民法典》第九百一十四条明确，当事人对储存期限没有约定或约定不明确的，存货人或者仓单持有人可以随时提取仓储物。此条也可说明，储存期限，为仓单非必要记载事项；(六）仓储费；供应链领域有相当一部分免费仓储，并且免费仓储在特定领域已经形成一定行业2；（七）仓储物已经办理保险的，其保险金额、期间以及保险人的名称;在实务中，不是所有产品有购买保险。上述四项属于相对必要记载事项，没有记载，虽然影响仓单本身的质量，但不影响确认仓单性质，因此，将其列为可选要素，供市场自行选择。同时，考虑市场交易或融资习惯，对原标准仓单要素进行调整。必备要素调整及具体原因如下：</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21"/>
        <w:gridCol w:w="936"/>
        <w:gridCol w:w="1190"/>
        <w:gridCol w:w="774"/>
        <w:gridCol w:w="1056"/>
        <w:gridCol w:w="165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序号</w:t>
            </w:r>
          </w:p>
        </w:tc>
        <w:tc>
          <w:tcPr>
            <w:tcW w:w="2947" w:type="dxa"/>
            <w:gridSpan w:val="3"/>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原条款</w:t>
            </w:r>
          </w:p>
        </w:tc>
        <w:tc>
          <w:tcPr>
            <w:tcW w:w="3486" w:type="dxa"/>
            <w:gridSpan w:val="3"/>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修订后条款</w:t>
            </w:r>
          </w:p>
        </w:tc>
        <w:tc>
          <w:tcPr>
            <w:tcW w:w="1617" w:type="dxa"/>
            <w:vMerge w:val="restart"/>
            <w:vAlign w:val="center"/>
          </w:tcPr>
          <w:p>
            <w:pPr>
              <w:pStyle w:val="16"/>
              <w:widowControl w:val="0"/>
              <w:ind w:firstLine="0" w:firstLineChars="0"/>
              <w:jc w:val="center"/>
              <w:rPr>
                <w:rFonts w:hAnsi="宋体"/>
                <w:bCs/>
                <w:kern w:val="2"/>
                <w:sz w:val="18"/>
                <w:szCs w:val="18"/>
              </w:rPr>
            </w:pPr>
            <w:r>
              <w:rPr>
                <w:rFonts w:hint="eastAsia" w:hAnsi="宋体"/>
                <w:b/>
                <w:kern w:val="2"/>
                <w:sz w:val="18"/>
                <w:szCs w:val="18"/>
              </w:rPr>
              <w:t>修订依据/理由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pPr>
              <w:pStyle w:val="16"/>
              <w:widowControl w:val="0"/>
              <w:ind w:firstLine="0" w:firstLineChars="0"/>
              <w:jc w:val="center"/>
              <w:rPr>
                <w:rFonts w:hAnsi="宋体"/>
                <w:b/>
                <w:kern w:val="2"/>
                <w:sz w:val="18"/>
                <w:szCs w:val="18"/>
              </w:rPr>
            </w:pPr>
          </w:p>
        </w:tc>
        <w:tc>
          <w:tcPr>
            <w:tcW w:w="821"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要素内容</w:t>
            </w:r>
          </w:p>
        </w:tc>
        <w:tc>
          <w:tcPr>
            <w:tcW w:w="936"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可选择用语</w:t>
            </w:r>
          </w:p>
        </w:tc>
        <w:tc>
          <w:tcPr>
            <w:tcW w:w="1190"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填写要求</w:t>
            </w:r>
          </w:p>
        </w:tc>
        <w:tc>
          <w:tcPr>
            <w:tcW w:w="774"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要素内容</w:t>
            </w:r>
          </w:p>
        </w:tc>
        <w:tc>
          <w:tcPr>
            <w:tcW w:w="1056"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可选择用语</w:t>
            </w:r>
          </w:p>
        </w:tc>
        <w:tc>
          <w:tcPr>
            <w:tcW w:w="1656" w:type="dxa"/>
            <w:vAlign w:val="center"/>
          </w:tcPr>
          <w:p>
            <w:pPr>
              <w:pStyle w:val="16"/>
              <w:widowControl w:val="0"/>
              <w:ind w:firstLine="0" w:firstLineChars="0"/>
              <w:jc w:val="center"/>
              <w:rPr>
                <w:rFonts w:hAnsi="宋体"/>
                <w:b/>
                <w:kern w:val="2"/>
                <w:sz w:val="18"/>
                <w:szCs w:val="18"/>
              </w:rPr>
            </w:pPr>
            <w:r>
              <w:rPr>
                <w:rFonts w:hint="eastAsia" w:hAnsi="宋体"/>
                <w:b/>
                <w:kern w:val="2"/>
                <w:sz w:val="18"/>
                <w:szCs w:val="18"/>
              </w:rPr>
              <w:t>填写要求</w:t>
            </w:r>
          </w:p>
        </w:tc>
        <w:tc>
          <w:tcPr>
            <w:tcW w:w="1617"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“仓单”字样</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仓单、入库单</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可流转仓单使用“仓单”字样，普通仓单使用“入库单”字样</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“仓单”字样</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期货仓单、现货仓单、普通电子仓单等</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应根据实际业务情况，选择相应用语</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根据《民法典》第九百零八条进行调整，删除入库单概念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（2）</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仓单编号</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编号、No.</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仓单编号</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编号、No.</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仓单编号应按相关规则制定，内容宜包括仓单出具人、仓库、仓单出具信息系统等信息</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增加了编码建议包含的内容，有利于仓单编码的唯一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（3）</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仓单填发日期</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填发日期</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汉字大写，如贰零壹贰年拾壹月壹日</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仓单出具日期</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出具日期</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纸质仓单应填写完整日期，宜用汉字大写或阿拉伯数字，应填写完整，如贰零贰叁年壹月壹日或2</w:t>
            </w:r>
            <w:r>
              <w:rPr>
                <w:sz w:val="18"/>
                <w:szCs w:val="18"/>
              </w:rPr>
              <w:t>023</w:t>
            </w:r>
            <w:r>
              <w:rPr>
                <w:rFonts w:hint="eastAsia"/>
                <w:sz w:val="18"/>
                <w:szCs w:val="18"/>
              </w:rPr>
              <w:t>年1月1日。电子仓单出具日期应由</w:t>
            </w:r>
            <w:r>
              <w:rPr>
                <w:rFonts w:hint="eastAsia" w:hAnsi="宋体"/>
                <w:sz w:val="18"/>
                <w:szCs w:val="18"/>
              </w:rPr>
              <w:t>系统自动生成，宜精确到秒，如2</w:t>
            </w:r>
            <w:r>
              <w:rPr>
                <w:rFonts w:hAnsi="宋体"/>
                <w:sz w:val="18"/>
                <w:szCs w:val="18"/>
              </w:rPr>
              <w:t>023</w:t>
            </w:r>
            <w:r>
              <w:rPr>
                <w:rFonts w:hint="eastAsia" w:hAnsi="宋体"/>
                <w:sz w:val="18"/>
                <w:szCs w:val="18"/>
              </w:rPr>
              <w:t>年1月1日1时</w:t>
            </w:r>
            <w:r>
              <w:rPr>
                <w:rFonts w:hAnsi="宋体"/>
                <w:sz w:val="18"/>
                <w:szCs w:val="18"/>
              </w:rPr>
              <w:t>1</w:t>
            </w:r>
            <w:r>
              <w:rPr>
                <w:rFonts w:hint="eastAsia" w:hAnsi="宋体"/>
                <w:sz w:val="18"/>
                <w:szCs w:val="18"/>
              </w:rPr>
              <w:t>分</w:t>
            </w:r>
            <w:r>
              <w:rPr>
                <w:rFonts w:hAnsi="宋体"/>
                <w:sz w:val="18"/>
                <w:szCs w:val="18"/>
              </w:rPr>
              <w:t>1</w:t>
            </w:r>
            <w:r>
              <w:rPr>
                <w:rFonts w:hint="eastAsia" w:hAnsi="宋体"/>
                <w:sz w:val="18"/>
                <w:szCs w:val="18"/>
              </w:rPr>
              <w:t>秒</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《民法典》均使用“出具”。同时考虑到实务中多为电子仓单，且系统中仓单出具日期宜精确到秒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（4）</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仓单登记时间</w:t>
            </w:r>
          </w:p>
        </w:tc>
        <w:tc>
          <w:tcPr>
            <w:tcW w:w="1056" w:type="dxa"/>
            <w:vAlign w:val="center"/>
          </w:tcPr>
          <w:p>
            <w:pPr>
              <w:pStyle w:val="16"/>
              <w:widowControl w:val="0"/>
              <w:ind w:firstLine="0" w:firstLineChars="0"/>
              <w:rPr>
                <w:rFonts w:hAnsi="宋体"/>
                <w:sz w:val="18"/>
                <w:szCs w:val="18"/>
              </w:rPr>
            </w:pPr>
            <w:r>
              <w:rPr>
                <w:rFonts w:hint="eastAsia"/>
                <w:sz w:val="18"/>
                <w:szCs w:val="18"/>
              </w:rPr>
              <w:t>仓单登记日期</w:t>
            </w:r>
          </w:p>
        </w:tc>
        <w:tc>
          <w:tcPr>
            <w:tcW w:w="1656" w:type="dxa"/>
            <w:vAlign w:val="center"/>
          </w:tcPr>
          <w:p>
            <w:pPr>
              <w:pStyle w:val="16"/>
              <w:widowControl w:val="0"/>
              <w:ind w:firstLine="0" w:firstLineChars="0"/>
              <w:rPr>
                <w:rFonts w:hAnsi="宋体"/>
                <w:sz w:val="18"/>
                <w:szCs w:val="18"/>
              </w:rPr>
            </w:pPr>
            <w:r>
              <w:rPr>
                <w:rFonts w:hint="eastAsia"/>
                <w:sz w:val="18"/>
                <w:szCs w:val="18"/>
              </w:rPr>
              <w:t>纸质仓单应填写完整日期，宜用汉字大写或阿拉伯数字，应填写完整，如贰零贰叁年壹月壹日或2</w:t>
            </w:r>
            <w:r>
              <w:rPr>
                <w:sz w:val="18"/>
                <w:szCs w:val="18"/>
              </w:rPr>
              <w:t>023</w:t>
            </w:r>
            <w:r>
              <w:rPr>
                <w:rFonts w:hint="eastAsia"/>
                <w:sz w:val="18"/>
                <w:szCs w:val="18"/>
              </w:rPr>
              <w:t>年1月1日。电子仓单登记日期应由</w:t>
            </w:r>
            <w:r>
              <w:rPr>
                <w:rFonts w:hint="eastAsia" w:hAnsi="宋体"/>
                <w:sz w:val="18"/>
                <w:szCs w:val="18"/>
              </w:rPr>
              <w:t>系统自动生成，宜精确到秒，如2</w:t>
            </w:r>
            <w:r>
              <w:rPr>
                <w:rFonts w:hAnsi="宋体"/>
                <w:sz w:val="18"/>
                <w:szCs w:val="18"/>
              </w:rPr>
              <w:t>023</w:t>
            </w:r>
            <w:r>
              <w:rPr>
                <w:rFonts w:hint="eastAsia" w:hAnsi="宋体"/>
                <w:sz w:val="18"/>
                <w:szCs w:val="18"/>
              </w:rPr>
              <w:t>年1月1日1时</w:t>
            </w:r>
            <w:r>
              <w:rPr>
                <w:rFonts w:hAnsi="宋体"/>
                <w:sz w:val="18"/>
                <w:szCs w:val="18"/>
              </w:rPr>
              <w:t>1</w:t>
            </w:r>
            <w:r>
              <w:rPr>
                <w:rFonts w:hint="eastAsia" w:hAnsi="宋体"/>
                <w:sz w:val="18"/>
                <w:szCs w:val="18"/>
              </w:rPr>
              <w:t>分</w:t>
            </w:r>
            <w:r>
              <w:rPr>
                <w:rFonts w:hAnsi="宋体"/>
                <w:sz w:val="18"/>
                <w:szCs w:val="18"/>
              </w:rPr>
              <w:t>1</w:t>
            </w:r>
            <w:r>
              <w:rPr>
                <w:rFonts w:hint="eastAsia" w:hAnsi="宋体"/>
                <w:sz w:val="18"/>
                <w:szCs w:val="18"/>
              </w:rPr>
              <w:t>秒</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仓单有登记动作，应该有登记时间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（5）</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仓单信息登记</w:t>
            </w:r>
          </w:p>
        </w:tc>
        <w:tc>
          <w:tcPr>
            <w:tcW w:w="1056" w:type="dxa"/>
            <w:vAlign w:val="center"/>
          </w:tcPr>
          <w:p>
            <w:pPr>
              <w:pStyle w:val="16"/>
              <w:widowControl w:val="0"/>
              <w:ind w:firstLine="0" w:firstLineChars="0"/>
              <w:rPr>
                <w:rFonts w:hAnsi="宋体"/>
                <w:sz w:val="18"/>
                <w:szCs w:val="18"/>
              </w:rPr>
            </w:pPr>
            <w:r>
              <w:rPr>
                <w:rFonts w:hint="eastAsia"/>
                <w:sz w:val="18"/>
                <w:szCs w:val="18"/>
              </w:rPr>
              <w:t>仓单信息登记机构</w:t>
            </w:r>
          </w:p>
        </w:tc>
        <w:tc>
          <w:tcPr>
            <w:tcW w:w="1656" w:type="dxa"/>
            <w:vAlign w:val="center"/>
          </w:tcPr>
          <w:p>
            <w:pPr>
              <w:pStyle w:val="16"/>
              <w:widowControl w:val="0"/>
              <w:ind w:firstLine="0" w:firstLineChars="0"/>
              <w:rPr>
                <w:rFonts w:hAnsi="宋体"/>
                <w:sz w:val="18"/>
                <w:szCs w:val="18"/>
              </w:rPr>
            </w:pPr>
            <w:r>
              <w:rPr>
                <w:rFonts w:hint="eastAsia"/>
                <w:sz w:val="18"/>
                <w:szCs w:val="18"/>
              </w:rPr>
              <w:t>在企业自有信息系统登记的，应填写企业自有信息系统名称；在交易所登记系统登记的，应填写交易所名称；在第三方平台登记的，应填写第三方平台名称</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交易或融资，需要信息透明，登记是最好的公示信息的方式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6</w:t>
            </w:r>
            <w:r>
              <w:rPr>
                <w:rFonts w:hint="eastAsia" w:hAnsi="宋体"/>
                <w:sz w:val="18"/>
                <w:szCs w:val="18"/>
              </w:rPr>
              <w:t>)</w:t>
            </w:r>
          </w:p>
        </w:tc>
        <w:tc>
          <w:tcPr>
            <w:tcW w:w="821" w:type="dxa"/>
            <w:vAlign w:val="center"/>
          </w:tcPr>
          <w:p>
            <w:pPr>
              <w:pStyle w:val="16"/>
              <w:widowControl w:val="0"/>
              <w:ind w:firstLine="0" w:firstLineChars="0"/>
              <w:rPr>
                <w:rFonts w:hAnsi="宋体"/>
                <w:sz w:val="18"/>
                <w:szCs w:val="18"/>
              </w:rPr>
            </w:pPr>
            <w:r>
              <w:rPr>
                <w:rFonts w:hint="eastAsia" w:hAnsi="宋体"/>
                <w:sz w:val="18"/>
                <w:szCs w:val="18"/>
              </w:rPr>
              <w:t>凭证权利提示</w:t>
            </w:r>
          </w:p>
        </w:tc>
        <w:tc>
          <w:tcPr>
            <w:tcW w:w="936" w:type="dxa"/>
            <w:vAlign w:val="center"/>
          </w:tcPr>
          <w:p>
            <w:pPr>
              <w:pStyle w:val="16"/>
              <w:widowControl w:val="0"/>
              <w:ind w:firstLine="0" w:firstLineChars="0"/>
              <w:rPr>
                <w:rFonts w:hAnsi="宋体"/>
                <w:sz w:val="18"/>
                <w:szCs w:val="18"/>
              </w:rPr>
            </w:pPr>
            <w:r>
              <w:rPr>
                <w:rFonts w:hint="eastAsia" w:hAnsi="宋体"/>
                <w:sz w:val="18"/>
                <w:szCs w:val="18"/>
              </w:rPr>
              <w:t>凭单提货</w:t>
            </w:r>
          </w:p>
        </w:tc>
        <w:tc>
          <w:tcPr>
            <w:tcW w:w="1190"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凭证权利提示</w:t>
            </w:r>
          </w:p>
        </w:tc>
        <w:tc>
          <w:tcPr>
            <w:tcW w:w="1056" w:type="dxa"/>
            <w:vAlign w:val="center"/>
          </w:tcPr>
          <w:p>
            <w:pPr>
              <w:pStyle w:val="16"/>
              <w:widowControl w:val="0"/>
              <w:ind w:firstLine="0" w:firstLineChars="0"/>
              <w:rPr>
                <w:rFonts w:hAnsi="宋体"/>
                <w:sz w:val="18"/>
                <w:szCs w:val="18"/>
              </w:rPr>
            </w:pPr>
            <w:r>
              <w:rPr>
                <w:rFonts w:hint="eastAsia"/>
                <w:sz w:val="18"/>
                <w:szCs w:val="18"/>
              </w:rPr>
              <w:t>凭单提货</w:t>
            </w:r>
          </w:p>
        </w:tc>
        <w:tc>
          <w:tcPr>
            <w:tcW w:w="1656" w:type="dxa"/>
            <w:vAlign w:val="center"/>
          </w:tcPr>
          <w:p>
            <w:pPr>
              <w:pStyle w:val="16"/>
              <w:widowControl w:val="0"/>
              <w:ind w:firstLine="0" w:firstLineChars="0"/>
              <w:rPr>
                <w:rFonts w:hAnsi="宋体"/>
                <w:sz w:val="18"/>
                <w:szCs w:val="18"/>
              </w:rPr>
            </w:pPr>
            <w:r>
              <w:rPr>
                <w:rFonts w:hint="eastAsia" w:hAnsi="宋体"/>
                <w:sz w:val="18"/>
                <w:szCs w:val="18"/>
              </w:rPr>
              <w:t>纸质仓单应在明显位置印制“凭单提货”；电子仓单，除标注“凭单提货”外，还应提示 “仓单持有人持本凭证，在电子系统中申请办申请手续”等字样</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考虑到实务中多为电子仓单，增加了对提货信息的提示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7</w:t>
            </w:r>
            <w:r>
              <w:rPr>
                <w:rFonts w:hint="eastAsia"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仓单注销时间</w:t>
            </w:r>
          </w:p>
        </w:tc>
        <w:tc>
          <w:tcPr>
            <w:tcW w:w="1056" w:type="dxa"/>
            <w:vAlign w:val="center"/>
          </w:tcPr>
          <w:p>
            <w:pPr>
              <w:pStyle w:val="16"/>
              <w:widowControl w:val="0"/>
              <w:ind w:firstLine="0" w:firstLineChars="0"/>
              <w:rPr>
                <w:rFonts w:hAnsi="宋体"/>
                <w:sz w:val="18"/>
                <w:szCs w:val="18"/>
              </w:rPr>
            </w:pPr>
            <w:r>
              <w:rPr>
                <w:rFonts w:hint="eastAsia"/>
                <w:sz w:val="18"/>
                <w:szCs w:val="18"/>
              </w:rPr>
              <w:t>仓单注销日期</w:t>
            </w:r>
          </w:p>
        </w:tc>
        <w:tc>
          <w:tcPr>
            <w:tcW w:w="1656" w:type="dxa"/>
            <w:vAlign w:val="center"/>
          </w:tcPr>
          <w:p>
            <w:pPr>
              <w:pStyle w:val="16"/>
              <w:widowControl w:val="0"/>
              <w:ind w:firstLine="0" w:firstLineChars="0"/>
              <w:rPr>
                <w:rFonts w:hAnsi="宋体"/>
                <w:sz w:val="18"/>
                <w:szCs w:val="18"/>
              </w:rPr>
            </w:pPr>
            <w:r>
              <w:rPr>
                <w:rFonts w:hint="eastAsia"/>
                <w:sz w:val="18"/>
                <w:szCs w:val="18"/>
              </w:rPr>
              <w:t>纸质仓单应填写完整日期，宜用汉字大写或阿拉伯数字，应填写完整，如贰零贰叁年壹月壹日或2</w:t>
            </w:r>
            <w:r>
              <w:rPr>
                <w:sz w:val="18"/>
                <w:szCs w:val="18"/>
              </w:rPr>
              <w:t>023</w:t>
            </w:r>
            <w:r>
              <w:rPr>
                <w:rFonts w:hint="eastAsia"/>
                <w:sz w:val="18"/>
                <w:szCs w:val="18"/>
              </w:rPr>
              <w:t>年1月1日。电子仓单注销日期应由</w:t>
            </w:r>
            <w:r>
              <w:rPr>
                <w:rFonts w:hint="eastAsia" w:hAnsi="宋体"/>
                <w:sz w:val="18"/>
                <w:szCs w:val="18"/>
              </w:rPr>
              <w:t>系统自动生成，宜精确到秒，如2</w:t>
            </w:r>
            <w:r>
              <w:rPr>
                <w:rFonts w:hAnsi="宋体"/>
                <w:sz w:val="18"/>
                <w:szCs w:val="18"/>
              </w:rPr>
              <w:t>023</w:t>
            </w:r>
            <w:r>
              <w:rPr>
                <w:rFonts w:hint="eastAsia" w:hAnsi="宋体"/>
                <w:sz w:val="18"/>
                <w:szCs w:val="18"/>
              </w:rPr>
              <w:t>年1月1日1时</w:t>
            </w:r>
            <w:r>
              <w:rPr>
                <w:rFonts w:hAnsi="宋体"/>
                <w:sz w:val="18"/>
                <w:szCs w:val="18"/>
              </w:rPr>
              <w:t>1</w:t>
            </w:r>
            <w:r>
              <w:rPr>
                <w:rFonts w:hint="eastAsia" w:hAnsi="宋体"/>
                <w:sz w:val="18"/>
                <w:szCs w:val="18"/>
              </w:rPr>
              <w:t>分</w:t>
            </w:r>
            <w:r>
              <w:rPr>
                <w:rFonts w:hAnsi="宋体"/>
                <w:sz w:val="18"/>
                <w:szCs w:val="18"/>
              </w:rPr>
              <w:t>1</w:t>
            </w:r>
            <w:r>
              <w:rPr>
                <w:rFonts w:hint="eastAsia" w:hAnsi="宋体"/>
                <w:sz w:val="18"/>
                <w:szCs w:val="18"/>
              </w:rPr>
              <w:t>秒</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仓单注销是仓单生命周期的最后一个环节，因此需要明确注销的时间，以提示相关交易方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8</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存货人名称</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存货人、存货单位</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存货人（单位）实名全称</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存货人名称</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存货单位</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纸质仓单应填写存货人（单位）全称，并加盖公章。电子仓单应进行电子签章</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实务中的存货人主要是法人企业，增加加盖公章环节，而非仅仅填写存货人相关信息，是明确法人行为的需要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9</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存货人住所</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存货人地址</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存货人住所</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存货人地址</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应据实填写存货人的联系地址</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增加了地址填写的要求。考虑到与存货人联系的便利程度，增加了联系地址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10</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仓储物名称</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名称、品种</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仓储物名称</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名称、品种</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应与仓储合同中的仓储物名称或品种以及仓储物的实际名称或品种相符</w:t>
            </w:r>
          </w:p>
        </w:tc>
        <w:tc>
          <w:tcPr>
            <w:tcW w:w="1617" w:type="dxa"/>
            <w:vMerge w:val="restart"/>
            <w:vAlign w:val="center"/>
          </w:tcPr>
          <w:p>
            <w:pPr>
              <w:pStyle w:val="16"/>
              <w:widowControl w:val="0"/>
              <w:ind w:firstLine="0" w:firstLineChars="0"/>
              <w:rPr>
                <w:rFonts w:hAnsi="宋体"/>
                <w:bCs/>
                <w:kern w:val="2"/>
                <w:sz w:val="18"/>
                <w:szCs w:val="18"/>
              </w:rPr>
            </w:pPr>
            <w:r>
              <w:rPr>
                <w:rFonts w:hint="eastAsia" w:hAnsi="宋体"/>
                <w:bCs/>
                <w:kern w:val="2"/>
                <w:sz w:val="18"/>
                <w:szCs w:val="18"/>
              </w:rPr>
              <w:t>填写应与合同和实物保持一致。从另外角度，两者不一致时，不应该出具仓单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11</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仓储物规格</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规格、型号、等级</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仓储物规格</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规格、型号、等级</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应与仓储合同中的仓储物规格、型号、等级以及仓储物的实际规格、型号、等级相符</w:t>
            </w:r>
          </w:p>
        </w:tc>
        <w:tc>
          <w:tcPr>
            <w:tcW w:w="1617" w:type="dxa"/>
            <w:vMerge w:val="continue"/>
            <w:vAlign w:val="center"/>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12</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仓储物包装</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包装</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仓储物包装</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包装</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应与仓储合同中的仓储物包装以及仓储物的实际包装相符</w:t>
            </w:r>
          </w:p>
        </w:tc>
        <w:tc>
          <w:tcPr>
            <w:tcW w:w="1617"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3</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仓储物计量单位</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单位</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件、千克、立方米等</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仓储物计量单位</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单位</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应与仓储合同中的仓储物计量方式以及仓储物的实际计量方式相符</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大宗商品涉及液体商品，应当增加液体计量单位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14)</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仓储物计量方式</w:t>
            </w:r>
          </w:p>
        </w:tc>
        <w:tc>
          <w:tcPr>
            <w:tcW w:w="1056" w:type="dxa"/>
            <w:vAlign w:val="center"/>
          </w:tcPr>
          <w:p>
            <w:pPr>
              <w:pStyle w:val="16"/>
              <w:widowControl w:val="0"/>
              <w:ind w:firstLine="0" w:firstLineChars="0"/>
              <w:rPr>
                <w:rFonts w:hAnsi="宋体"/>
                <w:sz w:val="18"/>
                <w:szCs w:val="18"/>
              </w:rPr>
            </w:pPr>
            <w:r>
              <w:rPr>
                <w:rFonts w:hint="eastAsia"/>
                <w:sz w:val="18"/>
                <w:szCs w:val="18"/>
              </w:rPr>
              <w:t>计量方式</w:t>
            </w:r>
          </w:p>
        </w:tc>
        <w:tc>
          <w:tcPr>
            <w:tcW w:w="1656" w:type="dxa"/>
            <w:vAlign w:val="center"/>
          </w:tcPr>
          <w:p>
            <w:pPr>
              <w:pStyle w:val="16"/>
              <w:widowControl w:val="0"/>
              <w:ind w:firstLine="0" w:firstLineChars="0"/>
              <w:rPr>
                <w:rFonts w:hAnsi="宋体"/>
                <w:sz w:val="18"/>
                <w:szCs w:val="18"/>
              </w:rPr>
            </w:pPr>
            <w:r>
              <w:rPr>
                <w:rFonts w:hint="eastAsia"/>
                <w:sz w:val="18"/>
                <w:szCs w:val="18"/>
              </w:rPr>
              <w:t>应填写仓储物计量方式，散货可选择填写地磅称重；有独立包装的仓储物可选择填写清点数量</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实务中，散货与有包装货物的计量方式不同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5</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仓储物数量</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数量</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仓储物数量</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数量</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应填写仓储物实际入库数量，纸质仓单可手工填写；电子仓单应由物联网等设备自动上传系统</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数量的真实性直接影响到仓单的真实，因此增加据实填写及自动上传的要求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16)</w:t>
            </w:r>
          </w:p>
        </w:tc>
        <w:tc>
          <w:tcPr>
            <w:tcW w:w="821" w:type="dxa"/>
            <w:vAlign w:val="center"/>
          </w:tcPr>
          <w:p>
            <w:pPr>
              <w:pStyle w:val="16"/>
              <w:widowControl w:val="0"/>
              <w:ind w:firstLine="0" w:firstLineChars="0"/>
              <w:rPr>
                <w:rFonts w:hAnsi="宋体"/>
                <w:sz w:val="18"/>
                <w:szCs w:val="18"/>
              </w:rPr>
            </w:pPr>
            <w:r>
              <w:rPr>
                <w:rFonts w:hint="eastAsia" w:hAnsi="宋体"/>
                <w:sz w:val="18"/>
                <w:szCs w:val="18"/>
              </w:rPr>
              <w:t>仓储物标记</w:t>
            </w:r>
          </w:p>
        </w:tc>
        <w:tc>
          <w:tcPr>
            <w:tcW w:w="936" w:type="dxa"/>
            <w:vAlign w:val="center"/>
          </w:tcPr>
          <w:p>
            <w:pPr>
              <w:pStyle w:val="16"/>
              <w:widowControl w:val="0"/>
              <w:ind w:firstLine="0" w:firstLineChars="0"/>
              <w:rPr>
                <w:rFonts w:hAnsi="宋体"/>
                <w:sz w:val="18"/>
                <w:szCs w:val="18"/>
              </w:rPr>
            </w:pPr>
            <w:r>
              <w:rPr>
                <w:rFonts w:hint="eastAsia" w:hAnsi="宋体"/>
                <w:sz w:val="18"/>
                <w:szCs w:val="18"/>
              </w:rPr>
              <w:t>标记、商标、生产厂家、生产日期、产地、含量</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仓储物标记</w:t>
            </w:r>
          </w:p>
        </w:tc>
        <w:tc>
          <w:tcPr>
            <w:tcW w:w="1056" w:type="dxa"/>
            <w:vAlign w:val="center"/>
          </w:tcPr>
          <w:p>
            <w:pPr>
              <w:pStyle w:val="16"/>
              <w:widowControl w:val="0"/>
              <w:ind w:firstLine="0" w:firstLineChars="0"/>
              <w:rPr>
                <w:rFonts w:hAnsi="宋体"/>
                <w:sz w:val="18"/>
                <w:szCs w:val="18"/>
              </w:rPr>
            </w:pPr>
            <w:r>
              <w:rPr>
                <w:rFonts w:hint="eastAsia"/>
                <w:sz w:val="18"/>
                <w:szCs w:val="18"/>
              </w:rPr>
              <w:t>标记、商标、生产厂家、生产日期、产地、含量</w:t>
            </w:r>
          </w:p>
        </w:tc>
        <w:tc>
          <w:tcPr>
            <w:tcW w:w="1656" w:type="dxa"/>
            <w:vAlign w:val="center"/>
          </w:tcPr>
          <w:p>
            <w:pPr>
              <w:pStyle w:val="16"/>
              <w:widowControl w:val="0"/>
              <w:ind w:firstLine="0" w:firstLineChars="0"/>
              <w:rPr>
                <w:rFonts w:hAnsi="宋体"/>
                <w:sz w:val="18"/>
                <w:szCs w:val="18"/>
              </w:rPr>
            </w:pPr>
            <w:r>
              <w:rPr>
                <w:rFonts w:hint="eastAsia"/>
                <w:sz w:val="18"/>
                <w:szCs w:val="18"/>
              </w:rPr>
              <w:t>应与仓储合同中的仓储物标记以及仓储物的实际标记相符</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填写应与合同和实物保持一致。从另外角度，两者不一致时，不应该出具仓单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7</w:t>
            </w:r>
            <w:r>
              <w:rPr>
                <w:rFonts w:hint="eastAsia"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仓储场所</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保管仓库地址</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bCs/>
                <w:kern w:val="2"/>
                <w:sz w:val="18"/>
                <w:szCs w:val="18"/>
              </w:rPr>
            </w:pPr>
            <w:r>
              <w:rPr>
                <w:rFonts w:hint="eastAsia"/>
                <w:sz w:val="18"/>
                <w:szCs w:val="18"/>
              </w:rPr>
              <w:t>储存场所</w:t>
            </w:r>
          </w:p>
        </w:tc>
        <w:tc>
          <w:tcPr>
            <w:tcW w:w="1056" w:type="dxa"/>
            <w:vAlign w:val="center"/>
          </w:tcPr>
          <w:p>
            <w:pPr>
              <w:pStyle w:val="16"/>
              <w:widowControl w:val="0"/>
              <w:ind w:firstLine="0" w:firstLineChars="0"/>
              <w:rPr>
                <w:rFonts w:hAnsi="宋体"/>
                <w:bCs/>
                <w:kern w:val="2"/>
                <w:sz w:val="18"/>
                <w:szCs w:val="18"/>
              </w:rPr>
            </w:pPr>
            <w:r>
              <w:rPr>
                <w:rFonts w:hint="eastAsia"/>
                <w:sz w:val="18"/>
                <w:szCs w:val="18"/>
              </w:rPr>
              <w:t>仓库地址</w:t>
            </w:r>
          </w:p>
        </w:tc>
        <w:tc>
          <w:tcPr>
            <w:tcW w:w="1656" w:type="dxa"/>
            <w:vAlign w:val="center"/>
          </w:tcPr>
          <w:p>
            <w:pPr>
              <w:pStyle w:val="16"/>
              <w:widowControl w:val="0"/>
              <w:ind w:firstLine="0" w:firstLineChars="0"/>
              <w:rPr>
                <w:rFonts w:hAnsi="宋体"/>
                <w:bCs/>
                <w:kern w:val="2"/>
                <w:sz w:val="18"/>
                <w:szCs w:val="18"/>
              </w:rPr>
            </w:pPr>
            <w:r>
              <w:rPr>
                <w:rFonts w:hint="eastAsia"/>
                <w:sz w:val="18"/>
                <w:szCs w:val="18"/>
              </w:rPr>
              <w:t>应据实填写真实仓库地址，描述清晰且无歧义</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实务中，经常出现仓库地址描述不清或有歧义的现象，需要在要素中明确要求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7" w:type="dxa"/>
            <w:vAlign w:val="center"/>
          </w:tcPr>
          <w:p>
            <w:pPr>
              <w:pStyle w:val="16"/>
              <w:widowControl w:val="0"/>
              <w:ind w:firstLine="0" w:firstLineChars="0"/>
              <w:rPr>
                <w:rFonts w:hAnsi="宋体"/>
                <w:sz w:val="18"/>
                <w:szCs w:val="18"/>
              </w:rPr>
            </w:pPr>
            <w:r>
              <w:rPr>
                <w:rFonts w:hint="eastAsia" w:hAnsi="宋体"/>
                <w:sz w:val="18"/>
                <w:szCs w:val="18"/>
              </w:rPr>
              <w:t>（1</w:t>
            </w:r>
            <w:r>
              <w:rPr>
                <w:rFonts w:hAnsi="宋体"/>
                <w:sz w:val="18"/>
                <w:szCs w:val="18"/>
              </w:rPr>
              <w:t>8</w:t>
            </w:r>
            <w:r>
              <w:rPr>
                <w:rFonts w:hint="eastAsia"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存货库位及货位号</w:t>
            </w:r>
          </w:p>
        </w:tc>
        <w:tc>
          <w:tcPr>
            <w:tcW w:w="1056" w:type="dxa"/>
            <w:vAlign w:val="center"/>
          </w:tcPr>
          <w:p>
            <w:pPr>
              <w:pStyle w:val="16"/>
              <w:widowControl w:val="0"/>
              <w:ind w:firstLine="0" w:firstLineChars="0"/>
              <w:rPr>
                <w:rFonts w:hAnsi="宋体"/>
                <w:sz w:val="18"/>
                <w:szCs w:val="18"/>
              </w:rPr>
            </w:pPr>
            <w:r>
              <w:rPr>
                <w:rFonts w:hint="eastAsia"/>
                <w:sz w:val="18"/>
                <w:szCs w:val="18"/>
              </w:rPr>
              <w:t>库位及货位号</w:t>
            </w:r>
          </w:p>
        </w:tc>
        <w:tc>
          <w:tcPr>
            <w:tcW w:w="1656" w:type="dxa"/>
            <w:vAlign w:val="center"/>
          </w:tcPr>
          <w:p>
            <w:pPr>
              <w:pStyle w:val="16"/>
              <w:widowControl w:val="0"/>
              <w:ind w:firstLine="0" w:firstLineChars="0"/>
              <w:rPr>
                <w:rFonts w:hAnsi="宋体"/>
                <w:sz w:val="18"/>
                <w:szCs w:val="18"/>
              </w:rPr>
            </w:pPr>
            <w:r>
              <w:rPr>
                <w:rFonts w:hint="eastAsia"/>
                <w:sz w:val="18"/>
                <w:szCs w:val="18"/>
              </w:rPr>
              <w:t>应据实填写真实库位地址，描述清晰且无歧义</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原标准只涉及保管仓库的地址，需要增加库位及货位号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（1</w:t>
            </w:r>
            <w:r>
              <w:rPr>
                <w:rFonts w:hAnsi="宋体"/>
                <w:sz w:val="18"/>
                <w:szCs w:val="18"/>
              </w:rPr>
              <w:t>9</w:t>
            </w:r>
            <w:r>
              <w:rPr>
                <w:rFonts w:hint="eastAsia" w:hAnsi="宋体"/>
                <w:sz w:val="18"/>
                <w:szCs w:val="18"/>
              </w:rPr>
              <w:t>）</w:t>
            </w:r>
          </w:p>
        </w:tc>
        <w:tc>
          <w:tcPr>
            <w:tcW w:w="821"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保管人名称</w:t>
            </w:r>
          </w:p>
        </w:tc>
        <w:tc>
          <w:tcPr>
            <w:tcW w:w="93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保管人、保管单位并盖章</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保管单位实名全称并盖章</w:t>
            </w:r>
          </w:p>
        </w:tc>
        <w:tc>
          <w:tcPr>
            <w:tcW w:w="774" w:type="dxa"/>
            <w:vAlign w:val="center"/>
          </w:tcPr>
          <w:p>
            <w:pPr>
              <w:pStyle w:val="16"/>
              <w:widowControl w:val="0"/>
              <w:ind w:firstLine="0" w:firstLineChars="0"/>
              <w:rPr>
                <w:sz w:val="18"/>
                <w:szCs w:val="18"/>
              </w:rPr>
            </w:pPr>
            <w:r>
              <w:rPr>
                <w:rFonts w:hint="eastAsia"/>
                <w:sz w:val="18"/>
                <w:szCs w:val="18"/>
              </w:rPr>
              <w:t>保管人名称</w:t>
            </w:r>
          </w:p>
        </w:tc>
        <w:tc>
          <w:tcPr>
            <w:tcW w:w="1056" w:type="dxa"/>
            <w:vAlign w:val="center"/>
          </w:tcPr>
          <w:p>
            <w:pPr>
              <w:pStyle w:val="16"/>
              <w:widowControl w:val="0"/>
              <w:ind w:firstLine="0" w:firstLineChars="0"/>
              <w:rPr>
                <w:sz w:val="18"/>
                <w:szCs w:val="18"/>
              </w:rPr>
            </w:pPr>
            <w:r>
              <w:rPr>
                <w:rFonts w:hint="eastAsia"/>
                <w:sz w:val="18"/>
              </w:rPr>
              <w:t>保管人（签章）、保管单位签章</w:t>
            </w:r>
          </w:p>
        </w:tc>
        <w:tc>
          <w:tcPr>
            <w:tcW w:w="1656" w:type="dxa"/>
            <w:vAlign w:val="center"/>
          </w:tcPr>
          <w:p>
            <w:pPr>
              <w:pStyle w:val="16"/>
              <w:widowControl w:val="0"/>
              <w:ind w:firstLine="0" w:firstLineChars="0"/>
              <w:rPr>
                <w:sz w:val="18"/>
                <w:szCs w:val="18"/>
              </w:rPr>
            </w:pPr>
            <w:r>
              <w:rPr>
                <w:rFonts w:hint="eastAsia"/>
                <w:sz w:val="18"/>
              </w:rPr>
              <w:t>应据实填写保管人单位实名全称，纸质仓单应盖章，电子仓单应进行电子签章</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考虑到实务中多为电子仓单，增加了电子仓单情况下，对保管人签单的要求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（2</w:t>
            </w:r>
            <w:r>
              <w:rPr>
                <w:rFonts w:hAnsi="宋体"/>
                <w:sz w:val="18"/>
                <w:szCs w:val="18"/>
              </w:rPr>
              <w:t>0</w:t>
            </w:r>
            <w:r>
              <w:rPr>
                <w:rFonts w:hint="eastAsia"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仓单出具人名称</w:t>
            </w:r>
          </w:p>
        </w:tc>
        <w:tc>
          <w:tcPr>
            <w:tcW w:w="1056" w:type="dxa"/>
            <w:vAlign w:val="center"/>
          </w:tcPr>
          <w:p>
            <w:pPr>
              <w:pStyle w:val="16"/>
              <w:widowControl w:val="0"/>
              <w:ind w:firstLine="0" w:firstLineChars="0"/>
              <w:rPr>
                <w:rFonts w:hAnsi="宋体"/>
                <w:sz w:val="18"/>
                <w:szCs w:val="18"/>
              </w:rPr>
            </w:pPr>
            <w:r>
              <w:rPr>
                <w:rFonts w:hint="eastAsia"/>
                <w:sz w:val="18"/>
                <w:szCs w:val="18"/>
              </w:rPr>
              <w:t>仓单出具人（签章）</w:t>
            </w:r>
          </w:p>
        </w:tc>
        <w:tc>
          <w:tcPr>
            <w:tcW w:w="1656" w:type="dxa"/>
            <w:vAlign w:val="center"/>
          </w:tcPr>
          <w:p>
            <w:pPr>
              <w:pStyle w:val="16"/>
              <w:widowControl w:val="0"/>
              <w:ind w:firstLine="0" w:firstLineChars="0"/>
              <w:rPr>
                <w:rFonts w:hAnsi="宋体"/>
                <w:sz w:val="18"/>
                <w:szCs w:val="18"/>
              </w:rPr>
            </w:pPr>
            <w:r>
              <w:rPr>
                <w:rFonts w:hint="eastAsia"/>
                <w:sz w:val="18"/>
                <w:szCs w:val="18"/>
              </w:rPr>
              <w:t>应据实填写仓单出具人实名全称，纸质仓单应盖章，电子仓单应进行电子签章</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实务中，有时会出现保管人为分公司的情况 ，而仓单出具方必须是法人，原标准只涉及保管人名称，需要增加仓单出具人名称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21)</w:t>
            </w:r>
          </w:p>
        </w:tc>
        <w:tc>
          <w:tcPr>
            <w:tcW w:w="821" w:type="dxa"/>
            <w:vAlign w:val="center"/>
          </w:tcPr>
          <w:p>
            <w:pPr>
              <w:pStyle w:val="16"/>
              <w:widowControl w:val="0"/>
              <w:ind w:firstLine="0" w:firstLineChars="0"/>
              <w:rPr>
                <w:rFonts w:hAnsi="宋体"/>
                <w:sz w:val="18"/>
                <w:szCs w:val="18"/>
              </w:rPr>
            </w:pPr>
            <w:r>
              <w:rPr>
                <w:rFonts w:hint="eastAsia" w:hAnsi="宋体"/>
                <w:sz w:val="18"/>
                <w:szCs w:val="18"/>
              </w:rPr>
              <w:t>仓库发货日期</w:t>
            </w:r>
          </w:p>
        </w:tc>
        <w:tc>
          <w:tcPr>
            <w:tcW w:w="936" w:type="dxa"/>
            <w:vAlign w:val="center"/>
          </w:tcPr>
          <w:p>
            <w:pPr>
              <w:pStyle w:val="16"/>
              <w:widowControl w:val="0"/>
              <w:ind w:firstLine="0" w:firstLineChars="0"/>
              <w:rPr>
                <w:rFonts w:hAnsi="宋体"/>
                <w:sz w:val="18"/>
                <w:szCs w:val="18"/>
              </w:rPr>
            </w:pPr>
            <w:r>
              <w:rPr>
                <w:rFonts w:hint="eastAsia" w:hAnsi="宋体"/>
                <w:sz w:val="18"/>
                <w:szCs w:val="18"/>
              </w:rPr>
              <w:t>发货日期、提货日期</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仓库发货日期</w:t>
            </w:r>
          </w:p>
        </w:tc>
        <w:tc>
          <w:tcPr>
            <w:tcW w:w="1056" w:type="dxa"/>
            <w:vAlign w:val="center"/>
          </w:tcPr>
          <w:p>
            <w:pPr>
              <w:pStyle w:val="16"/>
              <w:widowControl w:val="0"/>
              <w:ind w:firstLine="0" w:firstLineChars="0"/>
              <w:rPr>
                <w:rFonts w:hAnsi="宋体"/>
                <w:sz w:val="18"/>
                <w:szCs w:val="18"/>
              </w:rPr>
            </w:pPr>
            <w:r>
              <w:rPr>
                <w:rFonts w:hint="eastAsia"/>
                <w:sz w:val="18"/>
                <w:szCs w:val="18"/>
              </w:rPr>
              <w:t>发货日期、提货日期</w:t>
            </w:r>
          </w:p>
        </w:tc>
        <w:tc>
          <w:tcPr>
            <w:tcW w:w="1656" w:type="dxa"/>
            <w:vAlign w:val="center"/>
          </w:tcPr>
          <w:p>
            <w:pPr>
              <w:pStyle w:val="16"/>
              <w:widowControl w:val="0"/>
              <w:ind w:firstLine="0" w:firstLineChars="0"/>
              <w:rPr>
                <w:rFonts w:hAnsi="宋体"/>
                <w:sz w:val="18"/>
                <w:szCs w:val="18"/>
              </w:rPr>
            </w:pPr>
            <w:r>
              <w:rPr>
                <w:rFonts w:hint="eastAsia"/>
                <w:sz w:val="18"/>
                <w:szCs w:val="18"/>
              </w:rPr>
              <w:t>应据实填写仓库具体发货日期，应完整填写汉字大写或阿拉伯数字，如贰零贰叁年壹月壹日或2</w:t>
            </w:r>
            <w:r>
              <w:rPr>
                <w:sz w:val="18"/>
                <w:szCs w:val="18"/>
              </w:rPr>
              <w:t>023</w:t>
            </w:r>
            <w:r>
              <w:rPr>
                <w:rFonts w:hint="eastAsia"/>
                <w:sz w:val="18"/>
                <w:szCs w:val="18"/>
              </w:rPr>
              <w:t>年1月1日</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做为必备要素，应当增加填写要求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22)</w:t>
            </w:r>
          </w:p>
        </w:tc>
        <w:tc>
          <w:tcPr>
            <w:tcW w:w="821" w:type="dxa"/>
            <w:vAlign w:val="center"/>
          </w:tcPr>
          <w:p>
            <w:pPr>
              <w:pStyle w:val="16"/>
              <w:widowControl w:val="0"/>
              <w:ind w:firstLine="0" w:firstLineChars="0"/>
              <w:rPr>
                <w:rFonts w:hAnsi="宋体"/>
                <w:sz w:val="18"/>
                <w:szCs w:val="18"/>
              </w:rPr>
            </w:pPr>
            <w:r>
              <w:rPr>
                <w:rFonts w:hint="eastAsia" w:hAnsi="宋体"/>
                <w:sz w:val="18"/>
                <w:szCs w:val="18"/>
              </w:rPr>
              <w:t>仓单持有人提取货物盖章</w:t>
            </w:r>
          </w:p>
        </w:tc>
        <w:tc>
          <w:tcPr>
            <w:tcW w:w="936" w:type="dxa"/>
            <w:vAlign w:val="center"/>
          </w:tcPr>
          <w:p>
            <w:pPr>
              <w:pStyle w:val="16"/>
              <w:widowControl w:val="0"/>
              <w:ind w:firstLine="0" w:firstLineChars="0"/>
              <w:rPr>
                <w:rFonts w:hAnsi="宋体"/>
                <w:sz w:val="18"/>
                <w:szCs w:val="18"/>
              </w:rPr>
            </w:pPr>
            <w:r>
              <w:rPr>
                <w:rFonts w:hint="eastAsia" w:hAnsi="宋体"/>
                <w:sz w:val="18"/>
                <w:szCs w:val="18"/>
              </w:rPr>
              <w:t>仓单持有人提取货物盖章</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公章、人名章、手印</w:t>
            </w:r>
          </w:p>
        </w:tc>
        <w:tc>
          <w:tcPr>
            <w:tcW w:w="774" w:type="dxa"/>
            <w:vAlign w:val="center"/>
          </w:tcPr>
          <w:p>
            <w:pPr>
              <w:pStyle w:val="16"/>
              <w:widowControl w:val="0"/>
              <w:ind w:firstLine="0" w:firstLineChars="0"/>
              <w:rPr>
                <w:rFonts w:hAnsi="宋体"/>
                <w:sz w:val="18"/>
                <w:szCs w:val="18"/>
              </w:rPr>
            </w:pPr>
            <w:r>
              <w:rPr>
                <w:rFonts w:hint="eastAsia"/>
                <w:sz w:val="18"/>
                <w:szCs w:val="18"/>
              </w:rPr>
              <w:t>仓单持有人提取货物签章</w:t>
            </w:r>
          </w:p>
        </w:tc>
        <w:tc>
          <w:tcPr>
            <w:tcW w:w="1056" w:type="dxa"/>
            <w:vAlign w:val="center"/>
          </w:tcPr>
          <w:p>
            <w:pPr>
              <w:pStyle w:val="16"/>
              <w:widowControl w:val="0"/>
              <w:ind w:firstLine="0" w:firstLineChars="0"/>
              <w:rPr>
                <w:rFonts w:hAnsi="宋体"/>
                <w:sz w:val="18"/>
                <w:szCs w:val="18"/>
              </w:rPr>
            </w:pPr>
            <w:r>
              <w:rPr>
                <w:rFonts w:hint="eastAsia"/>
                <w:sz w:val="18"/>
                <w:szCs w:val="18"/>
              </w:rPr>
              <w:t>仓单持有人提取货物签章</w:t>
            </w:r>
          </w:p>
        </w:tc>
        <w:tc>
          <w:tcPr>
            <w:tcW w:w="1656" w:type="dxa"/>
            <w:vAlign w:val="center"/>
          </w:tcPr>
          <w:p>
            <w:pPr>
              <w:pStyle w:val="16"/>
              <w:widowControl w:val="0"/>
              <w:ind w:firstLine="0" w:firstLineChars="0"/>
              <w:rPr>
                <w:rFonts w:hAnsi="宋体"/>
                <w:sz w:val="18"/>
                <w:szCs w:val="18"/>
              </w:rPr>
            </w:pPr>
            <w:r>
              <w:rPr>
                <w:rFonts w:hint="eastAsia"/>
                <w:sz w:val="18"/>
                <w:szCs w:val="18"/>
              </w:rPr>
              <w:t>纸质仓单应加盖仓单持有人单位公章；电子仓单应进行电子签章</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强调企业行为，全部应为企业公章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23)</w:t>
            </w:r>
          </w:p>
        </w:tc>
        <w:tc>
          <w:tcPr>
            <w:tcW w:w="821" w:type="dxa"/>
            <w:vAlign w:val="center"/>
          </w:tcPr>
          <w:p>
            <w:pPr>
              <w:pStyle w:val="16"/>
              <w:widowControl w:val="0"/>
              <w:ind w:firstLine="0" w:firstLineChars="0"/>
              <w:rPr>
                <w:rFonts w:hAnsi="宋体"/>
                <w:sz w:val="18"/>
                <w:szCs w:val="18"/>
              </w:rPr>
            </w:pPr>
            <w:r>
              <w:rPr>
                <w:rFonts w:hint="eastAsia" w:hAnsi="宋体"/>
                <w:sz w:val="18"/>
                <w:szCs w:val="18"/>
              </w:rPr>
              <w:t>提货人有效证件</w:t>
            </w:r>
          </w:p>
        </w:tc>
        <w:tc>
          <w:tcPr>
            <w:tcW w:w="936" w:type="dxa"/>
            <w:vAlign w:val="center"/>
          </w:tcPr>
          <w:p>
            <w:pPr>
              <w:pStyle w:val="16"/>
              <w:widowControl w:val="0"/>
              <w:ind w:firstLine="0" w:firstLineChars="0"/>
              <w:rPr>
                <w:rFonts w:hAnsi="宋体"/>
                <w:sz w:val="18"/>
                <w:szCs w:val="18"/>
              </w:rPr>
            </w:pPr>
            <w:r>
              <w:rPr>
                <w:rFonts w:hint="eastAsia" w:hAnsi="宋体"/>
                <w:sz w:val="18"/>
                <w:szCs w:val="18"/>
              </w:rPr>
              <w:t>提货人有效证件名称及号码</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提货人有效证件</w:t>
            </w:r>
          </w:p>
        </w:tc>
        <w:tc>
          <w:tcPr>
            <w:tcW w:w="1056" w:type="dxa"/>
            <w:vAlign w:val="center"/>
          </w:tcPr>
          <w:p>
            <w:pPr>
              <w:pStyle w:val="16"/>
              <w:widowControl w:val="0"/>
              <w:ind w:firstLine="0" w:firstLineChars="0"/>
              <w:rPr>
                <w:rFonts w:hAnsi="宋体"/>
                <w:sz w:val="18"/>
                <w:szCs w:val="18"/>
              </w:rPr>
            </w:pPr>
            <w:r>
              <w:rPr>
                <w:rFonts w:hint="eastAsia"/>
                <w:sz w:val="18"/>
                <w:szCs w:val="18"/>
              </w:rPr>
              <w:t>提货人有效证件名称及号码</w:t>
            </w:r>
          </w:p>
        </w:tc>
        <w:tc>
          <w:tcPr>
            <w:tcW w:w="1656" w:type="dxa"/>
            <w:vAlign w:val="center"/>
          </w:tcPr>
          <w:p>
            <w:pPr>
              <w:pStyle w:val="16"/>
              <w:widowControl w:val="0"/>
              <w:ind w:firstLine="0" w:firstLineChars="0"/>
              <w:rPr>
                <w:rFonts w:hAnsi="宋体"/>
                <w:sz w:val="18"/>
                <w:szCs w:val="18"/>
              </w:rPr>
            </w:pPr>
            <w:r>
              <w:rPr>
                <w:rFonts w:hint="eastAsia"/>
                <w:sz w:val="18"/>
                <w:szCs w:val="18"/>
              </w:rPr>
              <w:t>纸质仓单，应以阿拉伯数字及英文字母填写证件号码，并对有效证件留存复印件。电子仓单，应输入证件号码，并留存有效证件电子资料</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24</w:t>
            </w:r>
            <w:r>
              <w:rPr>
                <w:rFonts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存货人或仓单持有人声明</w:t>
            </w:r>
          </w:p>
        </w:tc>
        <w:tc>
          <w:tcPr>
            <w:tcW w:w="1056" w:type="dxa"/>
            <w:vAlign w:val="center"/>
          </w:tcPr>
          <w:p>
            <w:pPr>
              <w:pStyle w:val="16"/>
              <w:widowControl w:val="0"/>
              <w:ind w:firstLine="0" w:firstLineChars="0"/>
              <w:rPr>
                <w:rFonts w:hAnsi="宋体"/>
                <w:sz w:val="18"/>
                <w:szCs w:val="18"/>
              </w:rPr>
            </w:pPr>
            <w:r>
              <w:rPr>
                <w:rFonts w:hint="eastAsia"/>
                <w:sz w:val="18"/>
                <w:szCs w:val="18"/>
              </w:rPr>
              <w:t>存货人或仓单持有人声明</w:t>
            </w:r>
          </w:p>
        </w:tc>
        <w:tc>
          <w:tcPr>
            <w:tcW w:w="1656" w:type="dxa"/>
            <w:vAlign w:val="center"/>
          </w:tcPr>
          <w:p>
            <w:pPr>
              <w:pStyle w:val="16"/>
              <w:widowControl w:val="0"/>
              <w:ind w:firstLine="0" w:firstLineChars="0"/>
              <w:rPr>
                <w:rFonts w:hAnsi="宋体"/>
                <w:sz w:val="18"/>
                <w:szCs w:val="18"/>
              </w:rPr>
            </w:pPr>
            <w:r>
              <w:rPr>
                <w:rFonts w:hint="eastAsia"/>
                <w:sz w:val="18"/>
                <w:szCs w:val="18"/>
              </w:rPr>
              <w:t>应据实填写仓单持人对仓单用途的描述，如进行质押，应填写“质押”；如进行转让，应填写“转让”</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仓单既可质押，也可背书转让，需要声明用途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25</w:t>
            </w:r>
            <w:r>
              <w:rPr>
                <w:rFonts w:hAnsi="宋体"/>
                <w:sz w:val="18"/>
                <w:szCs w:val="18"/>
              </w:rPr>
              <w:t>)</w:t>
            </w:r>
          </w:p>
        </w:tc>
        <w:tc>
          <w:tcPr>
            <w:tcW w:w="821" w:type="dxa"/>
            <w:vAlign w:val="center"/>
          </w:tcPr>
          <w:p>
            <w:pPr>
              <w:pStyle w:val="16"/>
              <w:widowControl w:val="0"/>
              <w:ind w:firstLine="0" w:firstLineChars="0"/>
              <w:rPr>
                <w:rFonts w:hAnsi="宋体"/>
                <w:sz w:val="18"/>
                <w:szCs w:val="18"/>
              </w:rPr>
            </w:pPr>
            <w:r>
              <w:rPr>
                <w:rFonts w:hint="eastAsia" w:hAnsi="宋体"/>
                <w:sz w:val="18"/>
                <w:szCs w:val="18"/>
              </w:rPr>
              <w:t>被背书人签章</w:t>
            </w:r>
          </w:p>
        </w:tc>
        <w:tc>
          <w:tcPr>
            <w:tcW w:w="936" w:type="dxa"/>
            <w:vAlign w:val="center"/>
          </w:tcPr>
          <w:p>
            <w:pPr>
              <w:pStyle w:val="16"/>
              <w:widowControl w:val="0"/>
              <w:ind w:firstLine="0" w:firstLineChars="0"/>
              <w:rPr>
                <w:rFonts w:hAnsi="宋体"/>
                <w:sz w:val="18"/>
                <w:szCs w:val="18"/>
              </w:rPr>
            </w:pPr>
            <w:r>
              <w:rPr>
                <w:rFonts w:hint="eastAsia" w:hAnsi="宋体"/>
                <w:sz w:val="18"/>
                <w:szCs w:val="18"/>
              </w:rPr>
              <w:t>被背书人签章</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采用电子化仓单的企业，应在系统内保留连续背书的记录，并可供查询确认</w:t>
            </w:r>
          </w:p>
        </w:tc>
        <w:tc>
          <w:tcPr>
            <w:tcW w:w="774" w:type="dxa"/>
            <w:vAlign w:val="center"/>
          </w:tcPr>
          <w:p>
            <w:pPr>
              <w:pStyle w:val="16"/>
              <w:widowControl w:val="0"/>
              <w:ind w:firstLine="0" w:firstLineChars="0"/>
              <w:rPr>
                <w:rFonts w:hAnsi="宋体"/>
                <w:sz w:val="18"/>
                <w:szCs w:val="18"/>
              </w:rPr>
            </w:pPr>
            <w:r>
              <w:rPr>
                <w:rFonts w:hint="eastAsia"/>
                <w:sz w:val="18"/>
                <w:szCs w:val="18"/>
              </w:rPr>
              <w:t>被背书人签章</w:t>
            </w:r>
          </w:p>
        </w:tc>
        <w:tc>
          <w:tcPr>
            <w:tcW w:w="1056" w:type="dxa"/>
            <w:vAlign w:val="center"/>
          </w:tcPr>
          <w:p>
            <w:pPr>
              <w:pStyle w:val="16"/>
              <w:widowControl w:val="0"/>
              <w:ind w:firstLine="0" w:firstLineChars="0"/>
              <w:rPr>
                <w:rFonts w:hAnsi="宋体"/>
                <w:sz w:val="18"/>
                <w:szCs w:val="18"/>
              </w:rPr>
            </w:pPr>
            <w:r>
              <w:rPr>
                <w:rFonts w:hint="eastAsia"/>
                <w:sz w:val="18"/>
                <w:szCs w:val="18"/>
              </w:rPr>
              <w:t>被背书人签章</w:t>
            </w:r>
          </w:p>
        </w:tc>
        <w:tc>
          <w:tcPr>
            <w:tcW w:w="1656" w:type="dxa"/>
            <w:vAlign w:val="center"/>
          </w:tcPr>
          <w:p>
            <w:pPr>
              <w:pStyle w:val="16"/>
              <w:widowControl w:val="0"/>
              <w:ind w:firstLine="0" w:firstLineChars="0"/>
              <w:rPr>
                <w:rFonts w:hAnsi="宋体"/>
                <w:sz w:val="18"/>
                <w:szCs w:val="18"/>
              </w:rPr>
            </w:pPr>
            <w:r>
              <w:rPr>
                <w:rFonts w:hint="eastAsia"/>
                <w:sz w:val="18"/>
                <w:szCs w:val="18"/>
              </w:rPr>
              <w:t>纸质仓单应加盖被背书人单位公章；电子仓单应进行电子签章，并在系统内保留连续背书的记录，以供查询确认</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不是电子化仓单，而是电子仓单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26</w:t>
            </w:r>
            <w:r>
              <w:rPr>
                <w:rFonts w:hAnsi="宋体"/>
                <w:sz w:val="18"/>
                <w:szCs w:val="18"/>
              </w:rPr>
              <w:t>)</w:t>
            </w:r>
          </w:p>
        </w:tc>
        <w:tc>
          <w:tcPr>
            <w:tcW w:w="821" w:type="dxa"/>
            <w:vAlign w:val="center"/>
          </w:tcPr>
          <w:p>
            <w:pPr>
              <w:pStyle w:val="16"/>
              <w:widowControl w:val="0"/>
              <w:ind w:firstLine="0" w:firstLineChars="0"/>
              <w:rPr>
                <w:rFonts w:hAnsi="宋体"/>
                <w:sz w:val="18"/>
                <w:szCs w:val="18"/>
              </w:rPr>
            </w:pPr>
            <w:r>
              <w:rPr>
                <w:rFonts w:hint="eastAsia" w:hAnsi="宋体"/>
                <w:sz w:val="18"/>
                <w:szCs w:val="18"/>
              </w:rPr>
              <w:t>背书人签章</w:t>
            </w:r>
          </w:p>
        </w:tc>
        <w:tc>
          <w:tcPr>
            <w:tcW w:w="936" w:type="dxa"/>
            <w:vAlign w:val="center"/>
          </w:tcPr>
          <w:p>
            <w:pPr>
              <w:pStyle w:val="16"/>
              <w:widowControl w:val="0"/>
              <w:ind w:firstLine="0" w:firstLineChars="0"/>
              <w:rPr>
                <w:rFonts w:hAnsi="宋体"/>
                <w:sz w:val="18"/>
                <w:szCs w:val="18"/>
              </w:rPr>
            </w:pPr>
            <w:r>
              <w:rPr>
                <w:rFonts w:hint="eastAsia" w:hAnsi="宋体"/>
                <w:sz w:val="18"/>
                <w:szCs w:val="18"/>
              </w:rPr>
              <w:t>背书人签章</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hAnsi="宋体"/>
                <w:sz w:val="18"/>
                <w:szCs w:val="18"/>
              </w:rPr>
              <w:t>背书人签章</w:t>
            </w:r>
          </w:p>
        </w:tc>
        <w:tc>
          <w:tcPr>
            <w:tcW w:w="1056" w:type="dxa"/>
            <w:vAlign w:val="center"/>
          </w:tcPr>
          <w:p>
            <w:pPr>
              <w:pStyle w:val="16"/>
              <w:widowControl w:val="0"/>
              <w:ind w:firstLine="0" w:firstLineChars="0"/>
              <w:rPr>
                <w:rFonts w:hAnsi="宋体"/>
                <w:sz w:val="18"/>
                <w:szCs w:val="18"/>
              </w:rPr>
            </w:pPr>
            <w:r>
              <w:rPr>
                <w:rFonts w:hint="eastAsia" w:hAnsi="宋体"/>
                <w:sz w:val="18"/>
                <w:szCs w:val="18"/>
              </w:rPr>
              <w:t>背书人签章</w:t>
            </w:r>
          </w:p>
        </w:tc>
        <w:tc>
          <w:tcPr>
            <w:tcW w:w="1656" w:type="dxa"/>
            <w:vAlign w:val="center"/>
          </w:tcPr>
          <w:p>
            <w:pPr>
              <w:pStyle w:val="16"/>
              <w:widowControl w:val="0"/>
              <w:ind w:firstLine="0" w:firstLineChars="0"/>
              <w:rPr>
                <w:rFonts w:hAnsi="宋体"/>
                <w:sz w:val="18"/>
                <w:szCs w:val="18"/>
              </w:rPr>
            </w:pPr>
            <w:r>
              <w:rPr>
                <w:rFonts w:hint="eastAsia" w:hAnsi="宋体"/>
                <w:sz w:val="18"/>
                <w:szCs w:val="18"/>
              </w:rPr>
              <w:t>同“被背书人签章”填写要求</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做为必备要素，应当增加填写要求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27</w:t>
            </w:r>
            <w:r>
              <w:rPr>
                <w:rFonts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hAnsi="宋体"/>
                <w:sz w:val="18"/>
                <w:szCs w:val="18"/>
              </w:rPr>
              <w:t>出质人签章</w:t>
            </w:r>
          </w:p>
        </w:tc>
        <w:tc>
          <w:tcPr>
            <w:tcW w:w="1056" w:type="dxa"/>
            <w:vAlign w:val="center"/>
          </w:tcPr>
          <w:p>
            <w:pPr>
              <w:pStyle w:val="16"/>
              <w:widowControl w:val="0"/>
              <w:ind w:firstLine="0" w:firstLineChars="0"/>
              <w:rPr>
                <w:rFonts w:hAnsi="宋体"/>
                <w:sz w:val="18"/>
                <w:szCs w:val="18"/>
              </w:rPr>
            </w:pPr>
            <w:r>
              <w:rPr>
                <w:rFonts w:hint="eastAsia" w:hAnsi="宋体"/>
                <w:sz w:val="18"/>
                <w:szCs w:val="18"/>
              </w:rPr>
              <w:t>出质人签章</w:t>
            </w:r>
          </w:p>
        </w:tc>
        <w:tc>
          <w:tcPr>
            <w:tcW w:w="1656" w:type="dxa"/>
            <w:vAlign w:val="center"/>
          </w:tcPr>
          <w:p>
            <w:pPr>
              <w:pStyle w:val="16"/>
              <w:widowControl w:val="0"/>
              <w:ind w:firstLine="0" w:firstLineChars="0"/>
              <w:rPr>
                <w:rFonts w:hAnsi="宋体"/>
                <w:sz w:val="18"/>
                <w:szCs w:val="18"/>
              </w:rPr>
            </w:pPr>
            <w:r>
              <w:rPr>
                <w:rFonts w:hint="eastAsia" w:hAnsi="宋体"/>
                <w:sz w:val="18"/>
                <w:szCs w:val="18"/>
              </w:rPr>
              <w:t>同“被背书人签章”填写要求</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在仓单融资环节，需要出质人确认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28</w:t>
            </w:r>
            <w:r>
              <w:rPr>
                <w:rFonts w:hAnsi="宋体"/>
                <w:sz w:val="18"/>
                <w:szCs w:val="18"/>
              </w:rPr>
              <w:t>)</w:t>
            </w:r>
          </w:p>
        </w:tc>
        <w:tc>
          <w:tcPr>
            <w:tcW w:w="821"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hAnsi="宋体"/>
                <w:sz w:val="18"/>
                <w:szCs w:val="18"/>
              </w:rPr>
              <w:t>质权人签章</w:t>
            </w:r>
          </w:p>
        </w:tc>
        <w:tc>
          <w:tcPr>
            <w:tcW w:w="1056" w:type="dxa"/>
            <w:vAlign w:val="center"/>
          </w:tcPr>
          <w:p>
            <w:pPr>
              <w:pStyle w:val="16"/>
              <w:widowControl w:val="0"/>
              <w:ind w:firstLine="0" w:firstLineChars="0"/>
              <w:rPr>
                <w:rFonts w:hAnsi="宋体"/>
                <w:sz w:val="18"/>
                <w:szCs w:val="18"/>
              </w:rPr>
            </w:pPr>
            <w:r>
              <w:rPr>
                <w:rFonts w:hint="eastAsia" w:hAnsi="宋体"/>
                <w:sz w:val="18"/>
                <w:szCs w:val="18"/>
              </w:rPr>
              <w:t>质权人签章</w:t>
            </w:r>
          </w:p>
        </w:tc>
        <w:tc>
          <w:tcPr>
            <w:tcW w:w="1656" w:type="dxa"/>
            <w:vAlign w:val="center"/>
          </w:tcPr>
          <w:p>
            <w:pPr>
              <w:pStyle w:val="16"/>
              <w:widowControl w:val="0"/>
              <w:ind w:firstLine="0" w:firstLineChars="0"/>
              <w:rPr>
                <w:rFonts w:hAnsi="宋体"/>
                <w:sz w:val="18"/>
                <w:szCs w:val="18"/>
              </w:rPr>
            </w:pPr>
            <w:r>
              <w:rPr>
                <w:rFonts w:hint="eastAsia" w:hAnsi="宋体"/>
                <w:sz w:val="18"/>
                <w:szCs w:val="18"/>
              </w:rPr>
              <w:t>同“被背书人签章”填写要求</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在仓单融资环节，需要质权人确认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29</w:t>
            </w:r>
            <w:r>
              <w:rPr>
                <w:rFonts w:hAnsi="宋体"/>
                <w:sz w:val="18"/>
                <w:szCs w:val="18"/>
              </w:rPr>
              <w:t>)</w:t>
            </w:r>
          </w:p>
        </w:tc>
        <w:tc>
          <w:tcPr>
            <w:tcW w:w="821" w:type="dxa"/>
            <w:vAlign w:val="center"/>
          </w:tcPr>
          <w:p>
            <w:pPr>
              <w:pStyle w:val="16"/>
              <w:widowControl w:val="0"/>
              <w:ind w:firstLine="0" w:firstLineChars="0"/>
              <w:rPr>
                <w:rFonts w:hAnsi="宋体"/>
                <w:sz w:val="18"/>
                <w:szCs w:val="18"/>
              </w:rPr>
            </w:pPr>
            <w:r>
              <w:rPr>
                <w:rFonts w:hint="eastAsia" w:hAnsi="宋体"/>
                <w:sz w:val="18"/>
                <w:szCs w:val="18"/>
              </w:rPr>
              <w:t>保管人背书签章</w:t>
            </w:r>
          </w:p>
        </w:tc>
        <w:tc>
          <w:tcPr>
            <w:tcW w:w="936" w:type="dxa"/>
            <w:vAlign w:val="center"/>
          </w:tcPr>
          <w:p>
            <w:pPr>
              <w:pStyle w:val="16"/>
              <w:widowControl w:val="0"/>
              <w:ind w:firstLine="0" w:firstLineChars="0"/>
              <w:rPr>
                <w:rFonts w:hAnsi="宋体"/>
                <w:sz w:val="18"/>
                <w:szCs w:val="18"/>
              </w:rPr>
            </w:pPr>
            <w:r>
              <w:rPr>
                <w:rFonts w:hint="eastAsia" w:hAnsi="宋体"/>
                <w:sz w:val="18"/>
                <w:szCs w:val="18"/>
              </w:rPr>
              <w:t>保管人签章</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hAnsi="宋体"/>
                <w:sz w:val="18"/>
                <w:szCs w:val="18"/>
              </w:rPr>
              <w:t>保管人背书签章</w:t>
            </w:r>
          </w:p>
        </w:tc>
        <w:tc>
          <w:tcPr>
            <w:tcW w:w="1056" w:type="dxa"/>
            <w:vAlign w:val="center"/>
          </w:tcPr>
          <w:p>
            <w:pPr>
              <w:pStyle w:val="16"/>
              <w:widowControl w:val="0"/>
              <w:ind w:firstLine="0" w:firstLineChars="0"/>
              <w:rPr>
                <w:rFonts w:hAnsi="宋体"/>
                <w:sz w:val="18"/>
                <w:szCs w:val="18"/>
              </w:rPr>
            </w:pPr>
            <w:r>
              <w:rPr>
                <w:rFonts w:hint="eastAsia" w:hAnsi="宋体"/>
                <w:sz w:val="18"/>
                <w:szCs w:val="18"/>
              </w:rPr>
              <w:t>保管人签章</w:t>
            </w:r>
          </w:p>
        </w:tc>
        <w:tc>
          <w:tcPr>
            <w:tcW w:w="1656" w:type="dxa"/>
            <w:vAlign w:val="center"/>
          </w:tcPr>
          <w:p>
            <w:pPr>
              <w:pStyle w:val="16"/>
              <w:widowControl w:val="0"/>
              <w:ind w:firstLine="0" w:firstLineChars="0"/>
              <w:rPr>
                <w:rFonts w:hAnsi="宋体"/>
                <w:sz w:val="18"/>
                <w:szCs w:val="18"/>
              </w:rPr>
            </w:pPr>
            <w:r>
              <w:rPr>
                <w:rFonts w:hint="eastAsia" w:hAnsi="宋体"/>
                <w:sz w:val="18"/>
                <w:szCs w:val="18"/>
              </w:rPr>
              <w:t>同“被背书人签章”填写要求</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做为必备要素，应当增加填写要求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Ansi="宋体"/>
                <w:sz w:val="18"/>
                <w:szCs w:val="18"/>
              </w:rPr>
              <w:t>(</w:t>
            </w:r>
            <w:r>
              <w:rPr>
                <w:rFonts w:hint="eastAsia" w:hAnsi="宋体"/>
                <w:sz w:val="18"/>
                <w:szCs w:val="18"/>
              </w:rPr>
              <w:t>30</w:t>
            </w:r>
            <w:r>
              <w:rPr>
                <w:rFonts w:hAnsi="宋体"/>
                <w:sz w:val="18"/>
                <w:szCs w:val="18"/>
              </w:rPr>
              <w:t>)</w:t>
            </w:r>
          </w:p>
        </w:tc>
        <w:tc>
          <w:tcPr>
            <w:tcW w:w="821" w:type="dxa"/>
            <w:vAlign w:val="center"/>
          </w:tcPr>
          <w:p>
            <w:pPr>
              <w:pStyle w:val="16"/>
              <w:widowControl w:val="0"/>
              <w:ind w:firstLine="0" w:firstLineChars="0"/>
              <w:rPr>
                <w:rFonts w:hAnsi="宋体"/>
                <w:sz w:val="18"/>
                <w:szCs w:val="18"/>
              </w:rPr>
            </w:pPr>
            <w:r>
              <w:rPr>
                <w:rFonts w:hint="eastAsia" w:hAnsi="宋体"/>
                <w:sz w:val="18"/>
                <w:szCs w:val="18"/>
              </w:rPr>
              <w:t>背书日期</w:t>
            </w:r>
          </w:p>
        </w:tc>
        <w:tc>
          <w:tcPr>
            <w:tcW w:w="936" w:type="dxa"/>
            <w:vAlign w:val="center"/>
          </w:tcPr>
          <w:p>
            <w:pPr>
              <w:pStyle w:val="16"/>
              <w:widowControl w:val="0"/>
              <w:ind w:firstLine="0" w:firstLineChars="0"/>
              <w:rPr>
                <w:rFonts w:hAnsi="宋体"/>
                <w:sz w:val="18"/>
                <w:szCs w:val="18"/>
              </w:rPr>
            </w:pPr>
            <w:r>
              <w:rPr>
                <w:rFonts w:hint="eastAsia" w:hAnsi="宋体"/>
                <w:sz w:val="18"/>
                <w:szCs w:val="18"/>
              </w:rPr>
              <w:t>年、月、日</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rPr>
                <w:rFonts w:hAnsi="宋体"/>
                <w:sz w:val="18"/>
                <w:szCs w:val="18"/>
              </w:rPr>
            </w:pPr>
            <w:r>
              <w:rPr>
                <w:rFonts w:hint="eastAsia"/>
                <w:sz w:val="18"/>
                <w:szCs w:val="18"/>
              </w:rPr>
              <w:t>背书日期</w:t>
            </w:r>
          </w:p>
        </w:tc>
        <w:tc>
          <w:tcPr>
            <w:tcW w:w="1056" w:type="dxa"/>
            <w:vAlign w:val="center"/>
          </w:tcPr>
          <w:p>
            <w:pPr>
              <w:pStyle w:val="16"/>
              <w:widowControl w:val="0"/>
              <w:ind w:firstLine="0" w:firstLineChars="0"/>
              <w:rPr>
                <w:rFonts w:hAnsi="宋体"/>
                <w:sz w:val="18"/>
                <w:szCs w:val="18"/>
              </w:rPr>
            </w:pPr>
            <w:r>
              <w:rPr>
                <w:rFonts w:hint="eastAsia"/>
                <w:sz w:val="18"/>
                <w:szCs w:val="18"/>
              </w:rPr>
              <w:t>年、月、日</w:t>
            </w:r>
          </w:p>
        </w:tc>
        <w:tc>
          <w:tcPr>
            <w:tcW w:w="1656" w:type="dxa"/>
            <w:vAlign w:val="center"/>
          </w:tcPr>
          <w:p>
            <w:pPr>
              <w:pStyle w:val="16"/>
              <w:widowControl w:val="0"/>
              <w:ind w:firstLine="0" w:firstLineChars="0"/>
              <w:rPr>
                <w:rFonts w:hAnsi="宋体"/>
                <w:sz w:val="18"/>
                <w:szCs w:val="18"/>
              </w:rPr>
            </w:pPr>
            <w:r>
              <w:rPr>
                <w:rFonts w:hint="eastAsia"/>
                <w:sz w:val="18"/>
                <w:szCs w:val="18"/>
              </w:rPr>
              <w:t>应据实填写背书动作的具体时间，纸质仓单应填写完整日期，宜用汉字大写或阿拉伯数字，如贰零贰叁年壹月壹日或2</w:t>
            </w:r>
            <w:r>
              <w:rPr>
                <w:sz w:val="18"/>
                <w:szCs w:val="18"/>
              </w:rPr>
              <w:t>023</w:t>
            </w:r>
            <w:r>
              <w:rPr>
                <w:rFonts w:hint="eastAsia"/>
                <w:sz w:val="18"/>
                <w:szCs w:val="18"/>
              </w:rPr>
              <w:t>年1月1日。电子仓单出具日期应由</w:t>
            </w:r>
            <w:r>
              <w:rPr>
                <w:rFonts w:hint="eastAsia" w:hAnsi="宋体"/>
                <w:sz w:val="18"/>
                <w:szCs w:val="18"/>
              </w:rPr>
              <w:t>系统自动生成，宜精确到秒，如2</w:t>
            </w:r>
            <w:r>
              <w:rPr>
                <w:rFonts w:hAnsi="宋体"/>
                <w:sz w:val="18"/>
                <w:szCs w:val="18"/>
              </w:rPr>
              <w:t>023</w:t>
            </w:r>
            <w:r>
              <w:rPr>
                <w:rFonts w:hint="eastAsia" w:hAnsi="宋体"/>
                <w:sz w:val="18"/>
                <w:szCs w:val="18"/>
              </w:rPr>
              <w:t>年1月1日1时</w:t>
            </w:r>
            <w:r>
              <w:rPr>
                <w:rFonts w:hAnsi="宋体"/>
                <w:sz w:val="18"/>
                <w:szCs w:val="18"/>
              </w:rPr>
              <w:t>1</w:t>
            </w:r>
            <w:r>
              <w:rPr>
                <w:rFonts w:hint="eastAsia" w:hAnsi="宋体"/>
                <w:sz w:val="18"/>
                <w:szCs w:val="18"/>
              </w:rPr>
              <w:t>分</w:t>
            </w:r>
            <w:r>
              <w:rPr>
                <w:rFonts w:hAnsi="宋体"/>
                <w:sz w:val="18"/>
                <w:szCs w:val="18"/>
              </w:rPr>
              <w:t>1</w:t>
            </w:r>
            <w:r>
              <w:rPr>
                <w:rFonts w:hint="eastAsia" w:hAnsi="宋体"/>
                <w:sz w:val="18"/>
                <w:szCs w:val="18"/>
              </w:rPr>
              <w:t>秒</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做为必备要素，应当增加填写要求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Ansi="宋体"/>
                <w:sz w:val="18"/>
                <w:szCs w:val="18"/>
              </w:rPr>
              <w:t>(</w:t>
            </w:r>
            <w:r>
              <w:rPr>
                <w:rFonts w:hint="eastAsia" w:hAnsi="宋体"/>
                <w:sz w:val="18"/>
                <w:szCs w:val="18"/>
              </w:rPr>
              <w:t>31</w:t>
            </w:r>
            <w:r>
              <w:rPr>
                <w:rFonts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交货人</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交货人签字、送货人签字</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填写“自然人”姓名</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属于企业行为， 故删除具体自然人信息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Ansi="宋体"/>
                <w:sz w:val="18"/>
                <w:szCs w:val="18"/>
              </w:rPr>
              <w:t>(</w:t>
            </w:r>
            <w:r>
              <w:rPr>
                <w:rFonts w:hint="eastAsia" w:hAnsi="宋体"/>
                <w:sz w:val="18"/>
                <w:szCs w:val="18"/>
              </w:rPr>
              <w:t>32</w:t>
            </w:r>
            <w:r>
              <w:rPr>
                <w:rFonts w:hAnsi="宋体"/>
                <w:sz w:val="18"/>
                <w:szCs w:val="18"/>
              </w:rPr>
              <w:t>)</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收货人</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仓库收货人、验收人、填发人</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填写“自然人”姓名</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属于企业行为， 故删除具体自然人信息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w:t>
            </w:r>
            <w:r>
              <w:rPr>
                <w:rFonts w:hAnsi="宋体"/>
                <w:bCs/>
                <w:kern w:val="2"/>
                <w:sz w:val="18"/>
                <w:szCs w:val="18"/>
              </w:rPr>
              <w:t>33)</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仓储物损耗标准</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损耗标准</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vMerge w:val="restart"/>
            <w:vAlign w:val="center"/>
          </w:tcPr>
          <w:p>
            <w:pPr>
              <w:pStyle w:val="16"/>
              <w:widowControl w:val="0"/>
              <w:ind w:firstLine="0" w:firstLineChars="0"/>
              <w:rPr>
                <w:rFonts w:hAnsi="宋体"/>
                <w:bCs/>
                <w:kern w:val="2"/>
                <w:sz w:val="18"/>
                <w:szCs w:val="18"/>
              </w:rPr>
            </w:pPr>
            <w:r>
              <w:rPr>
                <w:rFonts w:hint="eastAsia" w:hAnsi="宋体"/>
                <w:bCs/>
                <w:kern w:val="2"/>
                <w:sz w:val="18"/>
                <w:szCs w:val="18"/>
              </w:rPr>
              <w:t>是否填写，不影响仓单的认定，故在必备要素中删除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w:t>
            </w:r>
            <w:r>
              <w:rPr>
                <w:rFonts w:hAnsi="宋体"/>
                <w:bCs/>
                <w:kern w:val="2"/>
                <w:sz w:val="18"/>
                <w:szCs w:val="18"/>
              </w:rPr>
              <w:t>34)</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仓储费率</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仓储费率</w:t>
            </w:r>
          </w:p>
        </w:tc>
        <w:tc>
          <w:tcPr>
            <w:tcW w:w="1190"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w:t>
            </w:r>
            <w:r>
              <w:rPr>
                <w:rFonts w:hAnsi="宋体"/>
                <w:bCs/>
                <w:kern w:val="2"/>
                <w:sz w:val="18"/>
                <w:szCs w:val="18"/>
              </w:rPr>
              <w:t>35)</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仓储物价格</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货物合计金额、货值</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货物价值大写、小写同时填写。</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w:t>
            </w:r>
            <w:r>
              <w:rPr>
                <w:rFonts w:hAnsi="宋体"/>
                <w:bCs/>
                <w:kern w:val="2"/>
                <w:sz w:val="18"/>
                <w:szCs w:val="18"/>
              </w:rPr>
              <w:t>36)</w:t>
            </w:r>
          </w:p>
        </w:tc>
        <w:tc>
          <w:tcPr>
            <w:tcW w:w="821" w:type="dxa"/>
            <w:vAlign w:val="center"/>
          </w:tcPr>
          <w:p>
            <w:pPr>
              <w:pStyle w:val="16"/>
              <w:widowControl w:val="0"/>
              <w:ind w:firstLine="0" w:firstLineChars="0"/>
              <w:rPr>
                <w:rFonts w:hAnsi="宋体"/>
                <w:bCs/>
                <w:kern w:val="2"/>
                <w:sz w:val="18"/>
                <w:szCs w:val="18"/>
              </w:rPr>
            </w:pPr>
            <w:r>
              <w:rPr>
                <w:rFonts w:hint="eastAsia" w:hAnsi="宋体"/>
                <w:sz w:val="18"/>
                <w:szCs w:val="18"/>
              </w:rPr>
              <w:t>提货人</w:t>
            </w:r>
          </w:p>
        </w:tc>
        <w:tc>
          <w:tcPr>
            <w:tcW w:w="936" w:type="dxa"/>
            <w:vAlign w:val="center"/>
          </w:tcPr>
          <w:p>
            <w:pPr>
              <w:pStyle w:val="16"/>
              <w:widowControl w:val="0"/>
              <w:ind w:firstLine="0" w:firstLineChars="0"/>
              <w:rPr>
                <w:rFonts w:hAnsi="宋体"/>
                <w:bCs/>
                <w:kern w:val="2"/>
                <w:sz w:val="18"/>
                <w:szCs w:val="18"/>
              </w:rPr>
            </w:pPr>
            <w:r>
              <w:rPr>
                <w:rFonts w:hint="eastAsia" w:hAnsi="宋体"/>
                <w:sz w:val="18"/>
                <w:szCs w:val="18"/>
              </w:rPr>
              <w:t>提货人签字</w:t>
            </w:r>
          </w:p>
        </w:tc>
        <w:tc>
          <w:tcPr>
            <w:tcW w:w="1190" w:type="dxa"/>
            <w:vAlign w:val="center"/>
          </w:tcPr>
          <w:p>
            <w:pPr>
              <w:pStyle w:val="16"/>
              <w:widowControl w:val="0"/>
              <w:ind w:firstLine="0" w:firstLineChars="0"/>
              <w:rPr>
                <w:rFonts w:hAnsi="宋体"/>
                <w:bCs/>
                <w:kern w:val="2"/>
                <w:sz w:val="18"/>
                <w:szCs w:val="18"/>
              </w:rPr>
            </w:pPr>
            <w:r>
              <w:rPr>
                <w:rFonts w:hint="eastAsia" w:hAnsi="宋体"/>
                <w:sz w:val="18"/>
                <w:szCs w:val="18"/>
              </w:rPr>
              <w:t>填写“自然人”姓名</w:t>
            </w:r>
          </w:p>
        </w:tc>
        <w:tc>
          <w:tcPr>
            <w:tcW w:w="774"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0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5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617" w:type="dxa"/>
          </w:tcPr>
          <w:p>
            <w:pPr>
              <w:pStyle w:val="16"/>
              <w:widowControl w:val="0"/>
              <w:ind w:firstLine="0" w:firstLineChars="0"/>
              <w:rPr>
                <w:rFonts w:hAnsi="宋体"/>
                <w:bCs/>
                <w:kern w:val="2"/>
                <w:sz w:val="18"/>
                <w:szCs w:val="18"/>
              </w:rPr>
            </w:pPr>
            <w:r>
              <w:rPr>
                <w:rFonts w:hint="eastAsia" w:hAnsi="宋体"/>
                <w:bCs/>
                <w:kern w:val="2"/>
                <w:sz w:val="18"/>
                <w:szCs w:val="18"/>
              </w:rPr>
              <w:t>提货人有效证件可以覆盖，故删除</w:t>
            </w:r>
          </w:p>
        </w:tc>
      </w:tr>
    </w:tbl>
    <w:p>
      <w:pPr>
        <w:pStyle w:val="16"/>
        <w:ind w:firstLine="560"/>
        <w:rPr>
          <w:rFonts w:ascii="仿宋" w:hAnsi="仿宋" w:eastAsia="仿宋"/>
          <w:bCs/>
          <w:kern w:val="2"/>
          <w:sz w:val="28"/>
          <w:szCs w:val="28"/>
        </w:rPr>
      </w:pPr>
    </w:p>
    <w:p>
      <w:pPr>
        <w:pStyle w:val="16"/>
        <w:ind w:firstLine="560"/>
        <w:rPr>
          <w:rFonts w:ascii="仿宋" w:hAnsi="仿宋" w:eastAsia="仿宋"/>
          <w:bCs/>
          <w:kern w:val="2"/>
          <w:sz w:val="28"/>
          <w:szCs w:val="28"/>
        </w:rPr>
      </w:pPr>
      <w:r>
        <w:rPr>
          <w:rFonts w:hint="eastAsia" w:ascii="仿宋" w:hAnsi="仿宋" w:eastAsia="仿宋"/>
          <w:bCs/>
          <w:kern w:val="2"/>
          <w:sz w:val="28"/>
          <w:szCs w:val="28"/>
        </w:rPr>
        <w:t>可选要素调整及具体原因如下：</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29"/>
        <w:gridCol w:w="1126"/>
        <w:gridCol w:w="1313"/>
        <w:gridCol w:w="10"/>
        <w:gridCol w:w="923"/>
        <w:gridCol w:w="899"/>
        <w:gridCol w:w="124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vAlign w:val="center"/>
          </w:tcPr>
          <w:p>
            <w:pPr>
              <w:pStyle w:val="16"/>
              <w:widowControl w:val="0"/>
              <w:ind w:firstLine="0" w:firstLineChars="0"/>
              <w:rPr>
                <w:rFonts w:hAnsi="宋体"/>
                <w:b/>
                <w:kern w:val="2"/>
                <w:sz w:val="18"/>
                <w:szCs w:val="18"/>
              </w:rPr>
            </w:pPr>
            <w:r>
              <w:rPr>
                <w:rFonts w:hint="eastAsia" w:hAnsi="宋体"/>
                <w:b/>
                <w:kern w:val="2"/>
                <w:sz w:val="18"/>
                <w:szCs w:val="18"/>
              </w:rPr>
              <w:t>序号</w:t>
            </w:r>
          </w:p>
        </w:tc>
        <w:tc>
          <w:tcPr>
            <w:tcW w:w="3278" w:type="dxa"/>
            <w:gridSpan w:val="4"/>
            <w:vAlign w:val="center"/>
          </w:tcPr>
          <w:p>
            <w:pPr>
              <w:pStyle w:val="16"/>
              <w:widowControl w:val="0"/>
              <w:ind w:firstLine="0" w:firstLineChars="0"/>
              <w:rPr>
                <w:rFonts w:hAnsi="宋体"/>
                <w:b/>
                <w:kern w:val="2"/>
                <w:sz w:val="18"/>
                <w:szCs w:val="18"/>
              </w:rPr>
            </w:pPr>
            <w:r>
              <w:rPr>
                <w:rFonts w:hint="eastAsia" w:hAnsi="宋体"/>
                <w:b/>
                <w:kern w:val="2"/>
                <w:sz w:val="18"/>
                <w:szCs w:val="18"/>
              </w:rPr>
              <w:t>原条款</w:t>
            </w:r>
          </w:p>
        </w:tc>
        <w:tc>
          <w:tcPr>
            <w:tcW w:w="3071" w:type="dxa"/>
            <w:gridSpan w:val="3"/>
            <w:vAlign w:val="center"/>
          </w:tcPr>
          <w:p>
            <w:pPr>
              <w:pStyle w:val="16"/>
              <w:widowControl w:val="0"/>
              <w:ind w:firstLine="0" w:firstLineChars="0"/>
              <w:rPr>
                <w:rFonts w:hAnsi="宋体"/>
                <w:b/>
                <w:kern w:val="2"/>
                <w:sz w:val="18"/>
                <w:szCs w:val="18"/>
              </w:rPr>
            </w:pPr>
            <w:r>
              <w:rPr>
                <w:rFonts w:hint="eastAsia" w:hAnsi="宋体"/>
                <w:b/>
                <w:kern w:val="2"/>
                <w:sz w:val="18"/>
                <w:szCs w:val="18"/>
              </w:rPr>
              <w:t>修订后条款</w:t>
            </w:r>
          </w:p>
        </w:tc>
        <w:tc>
          <w:tcPr>
            <w:tcW w:w="1701" w:type="dxa"/>
            <w:vMerge w:val="restart"/>
            <w:vAlign w:val="center"/>
          </w:tcPr>
          <w:p>
            <w:pPr>
              <w:pStyle w:val="16"/>
              <w:widowControl w:val="0"/>
              <w:ind w:firstLine="0" w:firstLineChars="0"/>
              <w:rPr>
                <w:rFonts w:hAnsi="宋体"/>
                <w:bCs/>
                <w:kern w:val="2"/>
                <w:sz w:val="18"/>
                <w:szCs w:val="18"/>
              </w:rPr>
            </w:pPr>
            <w:r>
              <w:rPr>
                <w:rFonts w:hint="eastAsia" w:hAnsi="宋体"/>
                <w:b/>
                <w:kern w:val="2"/>
                <w:sz w:val="18"/>
                <w:szCs w:val="18"/>
              </w:rPr>
              <w:t>修订依据/理由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vAlign w:val="center"/>
          </w:tcPr>
          <w:p>
            <w:pPr>
              <w:pStyle w:val="16"/>
              <w:widowControl w:val="0"/>
              <w:ind w:firstLine="0" w:firstLineChars="0"/>
              <w:rPr>
                <w:rFonts w:hAnsi="宋体"/>
                <w:b/>
                <w:kern w:val="2"/>
                <w:sz w:val="18"/>
                <w:szCs w:val="18"/>
              </w:rPr>
            </w:pPr>
          </w:p>
        </w:tc>
        <w:tc>
          <w:tcPr>
            <w:tcW w:w="829" w:type="dxa"/>
            <w:vAlign w:val="center"/>
          </w:tcPr>
          <w:p>
            <w:pPr>
              <w:pStyle w:val="16"/>
              <w:widowControl w:val="0"/>
              <w:ind w:firstLine="0" w:firstLineChars="0"/>
              <w:rPr>
                <w:rFonts w:hAnsi="宋体"/>
                <w:b/>
                <w:kern w:val="2"/>
                <w:sz w:val="18"/>
                <w:szCs w:val="18"/>
              </w:rPr>
            </w:pPr>
            <w:r>
              <w:rPr>
                <w:rFonts w:hint="eastAsia" w:hAnsi="宋体"/>
                <w:b/>
                <w:kern w:val="2"/>
                <w:sz w:val="18"/>
                <w:szCs w:val="18"/>
              </w:rPr>
              <w:t>要素内容</w:t>
            </w:r>
          </w:p>
        </w:tc>
        <w:tc>
          <w:tcPr>
            <w:tcW w:w="1126" w:type="dxa"/>
            <w:vAlign w:val="center"/>
          </w:tcPr>
          <w:p>
            <w:pPr>
              <w:pStyle w:val="16"/>
              <w:widowControl w:val="0"/>
              <w:ind w:firstLine="0" w:firstLineChars="0"/>
              <w:rPr>
                <w:rFonts w:hAnsi="宋体"/>
                <w:b/>
                <w:kern w:val="2"/>
                <w:sz w:val="18"/>
                <w:szCs w:val="18"/>
              </w:rPr>
            </w:pPr>
            <w:r>
              <w:rPr>
                <w:rFonts w:hint="eastAsia" w:hAnsi="宋体"/>
                <w:b/>
                <w:kern w:val="2"/>
                <w:sz w:val="18"/>
                <w:szCs w:val="18"/>
              </w:rPr>
              <w:t>可选择用语</w:t>
            </w:r>
          </w:p>
        </w:tc>
        <w:tc>
          <w:tcPr>
            <w:tcW w:w="1313" w:type="dxa"/>
            <w:vAlign w:val="center"/>
          </w:tcPr>
          <w:p>
            <w:pPr>
              <w:pStyle w:val="16"/>
              <w:widowControl w:val="0"/>
              <w:ind w:firstLine="0" w:firstLineChars="0"/>
              <w:rPr>
                <w:rFonts w:hAnsi="宋体"/>
                <w:b/>
                <w:kern w:val="2"/>
                <w:sz w:val="18"/>
                <w:szCs w:val="18"/>
              </w:rPr>
            </w:pPr>
            <w:r>
              <w:rPr>
                <w:rFonts w:hint="eastAsia" w:hAnsi="宋体"/>
                <w:b/>
                <w:kern w:val="2"/>
                <w:sz w:val="18"/>
                <w:szCs w:val="18"/>
              </w:rPr>
              <w:t>填写说明</w:t>
            </w:r>
          </w:p>
        </w:tc>
        <w:tc>
          <w:tcPr>
            <w:tcW w:w="933" w:type="dxa"/>
            <w:gridSpan w:val="2"/>
            <w:vAlign w:val="center"/>
          </w:tcPr>
          <w:p>
            <w:pPr>
              <w:pStyle w:val="16"/>
              <w:widowControl w:val="0"/>
              <w:ind w:firstLine="0" w:firstLineChars="0"/>
              <w:rPr>
                <w:rFonts w:hAnsi="宋体"/>
                <w:b/>
                <w:kern w:val="2"/>
                <w:sz w:val="18"/>
                <w:szCs w:val="18"/>
              </w:rPr>
            </w:pPr>
            <w:r>
              <w:rPr>
                <w:rFonts w:hint="eastAsia" w:hAnsi="宋体"/>
                <w:b/>
                <w:kern w:val="2"/>
                <w:sz w:val="18"/>
                <w:szCs w:val="18"/>
              </w:rPr>
              <w:t>要素内容</w:t>
            </w:r>
          </w:p>
        </w:tc>
        <w:tc>
          <w:tcPr>
            <w:tcW w:w="899" w:type="dxa"/>
            <w:vAlign w:val="center"/>
          </w:tcPr>
          <w:p>
            <w:pPr>
              <w:pStyle w:val="16"/>
              <w:widowControl w:val="0"/>
              <w:ind w:firstLine="0" w:firstLineChars="0"/>
              <w:rPr>
                <w:rFonts w:hAnsi="宋体"/>
                <w:b/>
                <w:kern w:val="2"/>
                <w:sz w:val="18"/>
                <w:szCs w:val="18"/>
              </w:rPr>
            </w:pPr>
            <w:r>
              <w:rPr>
                <w:rFonts w:hint="eastAsia" w:hAnsi="宋体"/>
                <w:b/>
                <w:kern w:val="2"/>
                <w:sz w:val="18"/>
                <w:szCs w:val="18"/>
              </w:rPr>
              <w:t>可选择用语</w:t>
            </w:r>
          </w:p>
        </w:tc>
        <w:tc>
          <w:tcPr>
            <w:tcW w:w="1249" w:type="dxa"/>
            <w:vAlign w:val="center"/>
          </w:tcPr>
          <w:p>
            <w:pPr>
              <w:pStyle w:val="16"/>
              <w:widowControl w:val="0"/>
              <w:ind w:firstLine="0" w:firstLineChars="0"/>
              <w:rPr>
                <w:rFonts w:hAnsi="宋体"/>
                <w:b/>
                <w:kern w:val="2"/>
                <w:sz w:val="18"/>
                <w:szCs w:val="18"/>
              </w:rPr>
            </w:pPr>
            <w:r>
              <w:rPr>
                <w:rFonts w:hint="eastAsia" w:hAnsi="宋体"/>
                <w:b/>
                <w:kern w:val="2"/>
                <w:sz w:val="18"/>
                <w:szCs w:val="18"/>
              </w:rPr>
              <w:t>填写说明</w:t>
            </w:r>
          </w:p>
        </w:tc>
        <w:tc>
          <w:tcPr>
            <w:tcW w:w="1701"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仓储物损耗标准</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损耗标准</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填写仓储物在储存期间的损耗标准，宜参考相关品类国家标准、行业标准的内容填写</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《民法典》第九百零九条，法定事项之一，不记载不影响仓单认定，故列为可选要素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（2）</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储存期限</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储存期限</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填写仓储物的储存期限，应与仓储合同内容一致</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《民法典》第九百零九条，法定事项之一，不记载不影响仓单认定，故列为可选要素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（3）</w:t>
            </w:r>
          </w:p>
        </w:tc>
        <w:tc>
          <w:tcPr>
            <w:tcW w:w="829"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仓储费</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仓储费</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填写仓储物的仓储收费标准，应与仓储合同内容一致</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《民法典》第九百零九条，法定事项之一，不记载不影响仓单认定，故列为可选要素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（4）</w:t>
            </w:r>
          </w:p>
        </w:tc>
        <w:tc>
          <w:tcPr>
            <w:tcW w:w="829"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仓储物保险类型</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仓储物保险类型</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应据实填写已经为仓储物购买的保险类型，如财产险、财产一切险等</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《民法典》第九百零九条，法定事项之一，不记载不影响仓单认定，故列为可选要素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（5）</w:t>
            </w:r>
          </w:p>
        </w:tc>
        <w:tc>
          <w:tcPr>
            <w:tcW w:w="829" w:type="dxa"/>
            <w:vAlign w:val="center"/>
          </w:tcPr>
          <w:p>
            <w:pPr>
              <w:pStyle w:val="16"/>
              <w:widowControl w:val="0"/>
              <w:ind w:firstLine="0" w:firstLineChars="0"/>
              <w:rPr>
                <w:rFonts w:hAnsi="宋体"/>
                <w:sz w:val="18"/>
                <w:szCs w:val="18"/>
              </w:rPr>
            </w:pPr>
            <w:r>
              <w:rPr>
                <w:rFonts w:hint="eastAsia" w:hAnsi="宋体"/>
                <w:sz w:val="18"/>
                <w:szCs w:val="18"/>
              </w:rPr>
              <w:t>仓储物保险人名称</w:t>
            </w:r>
          </w:p>
        </w:tc>
        <w:tc>
          <w:tcPr>
            <w:tcW w:w="1126" w:type="dxa"/>
            <w:vAlign w:val="center"/>
          </w:tcPr>
          <w:p>
            <w:pPr>
              <w:pStyle w:val="16"/>
              <w:widowControl w:val="0"/>
              <w:ind w:firstLine="0" w:firstLineChars="0"/>
              <w:rPr>
                <w:rFonts w:hAnsi="宋体"/>
                <w:bCs/>
                <w:kern w:val="2"/>
                <w:sz w:val="18"/>
                <w:szCs w:val="18"/>
              </w:rPr>
            </w:pPr>
            <w:r>
              <w:rPr>
                <w:rFonts w:hint="eastAsia" w:hAnsi="宋体"/>
                <w:sz w:val="18"/>
                <w:szCs w:val="18"/>
              </w:rPr>
              <w:t>保险人</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仓储物保险人名称</w:t>
            </w:r>
          </w:p>
        </w:tc>
        <w:tc>
          <w:tcPr>
            <w:tcW w:w="899" w:type="dxa"/>
            <w:vAlign w:val="center"/>
          </w:tcPr>
          <w:p>
            <w:pPr>
              <w:pStyle w:val="16"/>
              <w:widowControl w:val="0"/>
              <w:ind w:firstLine="0" w:firstLineChars="0"/>
              <w:rPr>
                <w:rFonts w:hAnsi="宋体"/>
                <w:sz w:val="18"/>
                <w:szCs w:val="18"/>
              </w:rPr>
            </w:pPr>
            <w:r>
              <w:rPr>
                <w:rFonts w:hint="eastAsia" w:hAnsi="宋体"/>
                <w:sz w:val="18"/>
                <w:szCs w:val="18"/>
              </w:rPr>
              <w:t>保险人</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填写保险公司信息，纸质仓单应填写保险公司全称，电子仓单宜同时关联保险合同</w:t>
            </w:r>
          </w:p>
        </w:tc>
        <w:tc>
          <w:tcPr>
            <w:tcW w:w="1701" w:type="dxa"/>
            <w:vMerge w:val="restart"/>
            <w:vAlign w:val="center"/>
          </w:tcPr>
          <w:p>
            <w:pPr>
              <w:pStyle w:val="16"/>
              <w:widowControl w:val="0"/>
              <w:ind w:firstLine="0" w:firstLineChars="0"/>
              <w:rPr>
                <w:rFonts w:hAnsi="宋体"/>
                <w:bCs/>
                <w:kern w:val="2"/>
                <w:sz w:val="18"/>
                <w:szCs w:val="18"/>
              </w:rPr>
            </w:pPr>
            <w:r>
              <w:rPr>
                <w:rFonts w:hint="eastAsia" w:hAnsi="宋体"/>
                <w:bCs/>
                <w:kern w:val="2"/>
                <w:sz w:val="18"/>
                <w:szCs w:val="18"/>
              </w:rPr>
              <w:t>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(7)</w:t>
            </w:r>
          </w:p>
        </w:tc>
        <w:tc>
          <w:tcPr>
            <w:tcW w:w="829" w:type="dxa"/>
            <w:vAlign w:val="center"/>
          </w:tcPr>
          <w:p>
            <w:pPr>
              <w:pStyle w:val="16"/>
              <w:widowControl w:val="0"/>
              <w:ind w:firstLine="0" w:firstLineChars="0"/>
              <w:rPr>
                <w:rFonts w:hAnsi="宋体"/>
                <w:sz w:val="18"/>
                <w:szCs w:val="18"/>
              </w:rPr>
            </w:pPr>
            <w:r>
              <w:rPr>
                <w:rFonts w:hint="eastAsia" w:hAnsi="宋体"/>
                <w:sz w:val="18"/>
                <w:szCs w:val="18"/>
              </w:rPr>
              <w:t>仓储物保险期间</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保险期间</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仓储物保险期间</w:t>
            </w:r>
          </w:p>
        </w:tc>
        <w:tc>
          <w:tcPr>
            <w:tcW w:w="899" w:type="dxa"/>
            <w:vAlign w:val="center"/>
          </w:tcPr>
          <w:p>
            <w:pPr>
              <w:pStyle w:val="16"/>
              <w:widowControl w:val="0"/>
              <w:ind w:firstLine="0" w:firstLineChars="0"/>
              <w:rPr>
                <w:rFonts w:hAnsi="宋体"/>
                <w:sz w:val="18"/>
                <w:szCs w:val="18"/>
              </w:rPr>
            </w:pPr>
            <w:r>
              <w:rPr>
                <w:rFonts w:hint="eastAsia" w:hAnsi="宋体"/>
                <w:sz w:val="18"/>
                <w:szCs w:val="18"/>
              </w:rPr>
              <w:t>保险期间</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填写与仓储物有关的保险期间，应与保险合同内容一致</w:t>
            </w:r>
          </w:p>
        </w:tc>
        <w:tc>
          <w:tcPr>
            <w:tcW w:w="1701"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（8）</w:t>
            </w:r>
          </w:p>
        </w:tc>
        <w:tc>
          <w:tcPr>
            <w:tcW w:w="829" w:type="dxa"/>
            <w:vAlign w:val="center"/>
          </w:tcPr>
          <w:p>
            <w:pPr>
              <w:pStyle w:val="16"/>
              <w:widowControl w:val="0"/>
              <w:ind w:firstLine="0" w:firstLineChars="0"/>
              <w:rPr>
                <w:rFonts w:hAnsi="宋体"/>
                <w:sz w:val="18"/>
                <w:szCs w:val="18"/>
              </w:rPr>
            </w:pPr>
            <w:r>
              <w:rPr>
                <w:rFonts w:hint="eastAsia" w:hAnsi="宋体"/>
                <w:sz w:val="18"/>
                <w:szCs w:val="18"/>
              </w:rPr>
              <w:t>仓储物保险金额</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保险金额</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仓储物保险金额</w:t>
            </w:r>
          </w:p>
        </w:tc>
        <w:tc>
          <w:tcPr>
            <w:tcW w:w="899" w:type="dxa"/>
            <w:vAlign w:val="center"/>
          </w:tcPr>
          <w:p>
            <w:pPr>
              <w:pStyle w:val="16"/>
              <w:widowControl w:val="0"/>
              <w:ind w:firstLine="0" w:firstLineChars="0"/>
              <w:rPr>
                <w:rFonts w:hAnsi="宋体"/>
                <w:sz w:val="18"/>
                <w:szCs w:val="18"/>
              </w:rPr>
            </w:pPr>
            <w:r>
              <w:rPr>
                <w:rFonts w:hint="eastAsia" w:hAnsi="宋体"/>
                <w:sz w:val="18"/>
                <w:szCs w:val="18"/>
              </w:rPr>
              <w:t>保险金额</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填写与仓储物保险金额，金额的大小应与保险合同一致</w:t>
            </w:r>
          </w:p>
        </w:tc>
        <w:tc>
          <w:tcPr>
            <w:tcW w:w="1701"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（9）</w:t>
            </w:r>
          </w:p>
        </w:tc>
        <w:tc>
          <w:tcPr>
            <w:tcW w:w="829"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仓储物价格</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仓储物合计金额、货值</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填写仓储物的价格，应参考市场公允价格</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《民法典》第九百零九条，法定事项之一，不记载不影响仓单认定，故列为可选要素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0</w:t>
            </w:r>
            <w:r>
              <w:rPr>
                <w:rFonts w:hint="eastAsia" w:hAnsi="宋体"/>
                <w:sz w:val="18"/>
                <w:szCs w:val="18"/>
              </w:rPr>
              <w:t>）</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存货所有权证明</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存货所有权证明</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填写与仓储物权属有关的证明文件，纸质仓单宜粘贴相关复印件，电子仓单宜链接相关电子文件</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交易和融资机构关注存货所有权文件，但《民法典》未要求企业提供，但考虑到对于权利人的重要性，放到可选要素中，供市场择优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11</w:t>
            </w:r>
            <w:r>
              <w:rPr>
                <w:rFonts w:hint="eastAsia" w:hAnsi="宋体"/>
                <w:sz w:val="18"/>
                <w:szCs w:val="18"/>
              </w:rPr>
              <w:t>)</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存货质检证明</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存货质检证明</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填写与仓储物质检有关的证明文件，纸质仓单宜粘贴相关复印件，电子仓单宜链接相关电子文件</w:t>
            </w:r>
          </w:p>
        </w:tc>
        <w:tc>
          <w:tcPr>
            <w:tcW w:w="1701" w:type="dxa"/>
            <w:vMerge w:val="restart"/>
            <w:vAlign w:val="center"/>
          </w:tcPr>
          <w:p>
            <w:pPr>
              <w:pStyle w:val="16"/>
              <w:widowControl w:val="0"/>
              <w:ind w:firstLine="0" w:firstLineChars="0"/>
              <w:rPr>
                <w:rFonts w:hAnsi="宋体"/>
                <w:bCs/>
                <w:kern w:val="2"/>
                <w:sz w:val="18"/>
                <w:szCs w:val="18"/>
              </w:rPr>
            </w:pPr>
            <w:r>
              <w:rPr>
                <w:rFonts w:hint="eastAsia" w:hAnsi="宋体"/>
                <w:bCs/>
                <w:kern w:val="2"/>
                <w:sz w:val="18"/>
                <w:szCs w:val="18"/>
              </w:rPr>
              <w:t>交易和融资机构关注存货质检文件，但《民法典》未要求企业提供，但考虑到对于权利人的重要性，放到可选要素中，供市场择优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12</w:t>
            </w:r>
            <w:r>
              <w:rPr>
                <w:rFonts w:hint="eastAsia" w:hAnsi="宋体"/>
                <w:sz w:val="18"/>
                <w:szCs w:val="18"/>
              </w:rPr>
              <w:t>）</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存货质检单位</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存货质检单位</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填写仓储物质检单位信息，纸质仓单宜填写质检单位全称，电子仓单宜关联质检单位</w:t>
            </w:r>
          </w:p>
        </w:tc>
        <w:tc>
          <w:tcPr>
            <w:tcW w:w="1701" w:type="dxa"/>
            <w:vMerge w:val="continue"/>
          </w:tcPr>
          <w:p>
            <w:pPr>
              <w:pStyle w:val="16"/>
              <w:widowControl w:val="0"/>
              <w:ind w:firstLine="0" w:firstLineChars="0"/>
              <w:rPr>
                <w:rFonts w:hAnsi="宋体"/>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13</w:t>
            </w:r>
            <w:r>
              <w:rPr>
                <w:rFonts w:hint="eastAsia" w:hAnsi="宋体"/>
                <w:sz w:val="18"/>
                <w:szCs w:val="18"/>
              </w:rPr>
              <w:t>）</w:t>
            </w:r>
          </w:p>
        </w:tc>
        <w:tc>
          <w:tcPr>
            <w:tcW w:w="829" w:type="dxa"/>
            <w:vAlign w:val="center"/>
          </w:tcPr>
          <w:p>
            <w:pPr>
              <w:pStyle w:val="16"/>
              <w:widowControl w:val="0"/>
              <w:ind w:firstLine="0" w:firstLineChars="0"/>
              <w:rPr>
                <w:rFonts w:hAnsi="宋体"/>
                <w:sz w:val="18"/>
                <w:szCs w:val="18"/>
              </w:rPr>
            </w:pPr>
            <w:r>
              <w:rPr>
                <w:rFonts w:hint="eastAsia" w:hAnsi="宋体"/>
                <w:sz w:val="18"/>
                <w:szCs w:val="18"/>
              </w:rPr>
              <w:t>仓储合同信息</w:t>
            </w:r>
          </w:p>
        </w:tc>
        <w:tc>
          <w:tcPr>
            <w:tcW w:w="1126" w:type="dxa"/>
            <w:vAlign w:val="center"/>
          </w:tcPr>
          <w:p>
            <w:pPr>
              <w:pStyle w:val="5"/>
              <w:rPr>
                <w:rFonts w:hAnsi="宋体"/>
                <w:bCs/>
                <w:sz w:val="18"/>
                <w:szCs w:val="18"/>
              </w:rPr>
            </w:pPr>
            <w:r>
              <w:rPr>
                <w:rFonts w:hint="eastAsia" w:hAnsi="宋体"/>
                <w:sz w:val="18"/>
                <w:szCs w:val="18"/>
              </w:rPr>
              <w:t>关联合同号</w:t>
            </w:r>
          </w:p>
        </w:tc>
        <w:tc>
          <w:tcPr>
            <w:tcW w:w="1313" w:type="dxa"/>
            <w:vAlign w:val="center"/>
          </w:tcPr>
          <w:p>
            <w:pPr>
              <w:pStyle w:val="5"/>
              <w:jc w:val="center"/>
              <w:rPr>
                <w:rFonts w:hAnsi="宋体"/>
                <w:bCs/>
                <w:sz w:val="18"/>
                <w:szCs w:val="18"/>
              </w:rPr>
            </w:pPr>
            <w:r>
              <w:rPr>
                <w:rFonts w:hint="eastAsia" w:hAnsi="宋体"/>
                <w:bCs/>
                <w:sz w:val="18"/>
                <w:szCs w:val="18"/>
              </w:rPr>
              <w:t>—</w:t>
            </w:r>
          </w:p>
        </w:tc>
        <w:tc>
          <w:tcPr>
            <w:tcW w:w="933" w:type="dxa"/>
            <w:gridSpan w:val="2"/>
            <w:vAlign w:val="center"/>
          </w:tcPr>
          <w:p>
            <w:pPr>
              <w:pStyle w:val="5"/>
              <w:rPr>
                <w:rFonts w:hAnsi="宋体"/>
                <w:sz w:val="18"/>
                <w:szCs w:val="18"/>
              </w:rPr>
            </w:pPr>
            <w:r>
              <w:rPr>
                <w:rFonts w:hint="eastAsia" w:hAnsi="宋体"/>
                <w:sz w:val="18"/>
                <w:szCs w:val="18"/>
              </w:rPr>
              <w:t>仓储合同信息</w:t>
            </w:r>
          </w:p>
        </w:tc>
        <w:tc>
          <w:tcPr>
            <w:tcW w:w="899" w:type="dxa"/>
            <w:vAlign w:val="center"/>
          </w:tcPr>
          <w:p>
            <w:pPr>
              <w:pStyle w:val="16"/>
              <w:widowControl w:val="0"/>
              <w:ind w:firstLine="0" w:firstLineChars="0"/>
              <w:rPr>
                <w:rFonts w:hAnsi="宋体"/>
                <w:sz w:val="18"/>
                <w:szCs w:val="18"/>
              </w:rPr>
            </w:pPr>
            <w:r>
              <w:rPr>
                <w:rFonts w:hint="eastAsia" w:hAnsi="宋体"/>
                <w:sz w:val="18"/>
                <w:szCs w:val="18"/>
              </w:rPr>
              <w:t>关联仓储合同号</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填写产生该项仓单的仓储合同编号：纸质仓单宜填写合同编号；电子仓单宜关联仓储合同相关信息</w:t>
            </w:r>
          </w:p>
        </w:tc>
        <w:tc>
          <w:tcPr>
            <w:tcW w:w="1701" w:type="dxa"/>
            <w:vAlign w:val="center"/>
          </w:tcPr>
          <w:p>
            <w:pPr>
              <w:pStyle w:val="5"/>
              <w:rPr>
                <w:rFonts w:hAnsi="宋体"/>
                <w:bCs/>
                <w:sz w:val="18"/>
                <w:szCs w:val="18"/>
              </w:rPr>
            </w:pPr>
            <w:r>
              <w:rPr>
                <w:rFonts w:hint="eastAsia" w:hAnsi="宋体"/>
                <w:bCs/>
                <w:sz w:val="18"/>
                <w:szCs w:val="18"/>
              </w:rPr>
              <w:t>增加填写要求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5"/>
              <w:rPr>
                <w:rFonts w:hAnsi="宋体"/>
                <w:bCs/>
                <w:sz w:val="18"/>
                <w:szCs w:val="18"/>
              </w:rPr>
            </w:pPr>
            <w:r>
              <w:rPr>
                <w:rFonts w:hint="eastAsia" w:hAnsi="宋体"/>
                <w:sz w:val="18"/>
                <w:szCs w:val="18"/>
              </w:rPr>
              <w:t>（1</w:t>
            </w:r>
            <w:r>
              <w:rPr>
                <w:rFonts w:hAnsi="宋体"/>
                <w:sz w:val="18"/>
                <w:szCs w:val="18"/>
              </w:rPr>
              <w:t>4</w:t>
            </w:r>
            <w:r>
              <w:rPr>
                <w:rFonts w:hint="eastAsia" w:hAnsi="宋体"/>
                <w:sz w:val="18"/>
                <w:szCs w:val="18"/>
              </w:rPr>
              <w:t>）</w:t>
            </w:r>
          </w:p>
        </w:tc>
        <w:tc>
          <w:tcPr>
            <w:tcW w:w="829"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5"/>
              <w:rPr>
                <w:rFonts w:hAnsi="宋体"/>
                <w:sz w:val="18"/>
                <w:szCs w:val="18"/>
              </w:rPr>
            </w:pPr>
            <w:r>
              <w:rPr>
                <w:rFonts w:hint="eastAsia" w:hAnsi="宋体"/>
                <w:sz w:val="18"/>
                <w:szCs w:val="18"/>
              </w:rPr>
              <w:t>仓单质权设立方式</w:t>
            </w:r>
          </w:p>
        </w:tc>
        <w:tc>
          <w:tcPr>
            <w:tcW w:w="899" w:type="dxa"/>
            <w:vAlign w:val="center"/>
          </w:tcPr>
          <w:p>
            <w:pPr>
              <w:pStyle w:val="16"/>
              <w:widowControl w:val="0"/>
              <w:ind w:firstLine="0" w:firstLineChars="0"/>
              <w:rPr>
                <w:rFonts w:hAnsi="宋体"/>
                <w:sz w:val="18"/>
                <w:szCs w:val="18"/>
              </w:rPr>
            </w:pPr>
            <w:r>
              <w:rPr>
                <w:rFonts w:hint="eastAsia" w:hAnsi="宋体"/>
                <w:sz w:val="18"/>
                <w:szCs w:val="18"/>
              </w:rPr>
              <w:t>仓单质权设立方式</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应填写交易双方协商一致的交付方式，如“交付”或“登记”</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担保制度解释》第五十九条第一款区分了“有权利凭证”和“无权利凭证”两类仓单质押方式，直接影响仓单质押是否有效设立。但是，何为“权利凭证”，何为“没有权利凭证的仓单”，《民法典》及其他法律未做进一步明确。为了减少纠纷，将质设立方式以双方约定方式进行明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15)</w:t>
            </w:r>
          </w:p>
        </w:tc>
        <w:tc>
          <w:tcPr>
            <w:tcW w:w="82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bCs/>
                <w:kern w:val="2"/>
                <w:sz w:val="18"/>
                <w:szCs w:val="18"/>
              </w:rPr>
            </w:pPr>
            <w:r>
              <w:rPr>
                <w:rFonts w:hint="eastAsia" w:hAnsi="宋体"/>
                <w:sz w:val="18"/>
                <w:szCs w:val="18"/>
              </w:rPr>
              <w:t>交易或融资争议解决方式</w:t>
            </w:r>
          </w:p>
        </w:tc>
        <w:tc>
          <w:tcPr>
            <w:tcW w:w="899" w:type="dxa"/>
            <w:vAlign w:val="center"/>
          </w:tcPr>
          <w:p>
            <w:pPr>
              <w:pStyle w:val="16"/>
              <w:widowControl w:val="0"/>
              <w:ind w:firstLine="0" w:firstLineChars="0"/>
              <w:rPr>
                <w:rFonts w:hAnsi="宋体"/>
                <w:bCs/>
                <w:kern w:val="2"/>
                <w:sz w:val="18"/>
                <w:szCs w:val="18"/>
              </w:rPr>
            </w:pPr>
            <w:r>
              <w:rPr>
                <w:rFonts w:hint="eastAsia" w:hAnsi="宋体"/>
                <w:sz w:val="18"/>
                <w:szCs w:val="18"/>
              </w:rPr>
              <w:t>交易或融资争议解决方式</w:t>
            </w:r>
          </w:p>
        </w:tc>
        <w:tc>
          <w:tcPr>
            <w:tcW w:w="1249" w:type="dxa"/>
            <w:vAlign w:val="center"/>
          </w:tcPr>
          <w:p>
            <w:pPr>
              <w:pStyle w:val="16"/>
              <w:widowControl w:val="0"/>
              <w:ind w:firstLine="0" w:firstLineChars="0"/>
              <w:rPr>
                <w:rFonts w:hAnsi="宋体"/>
                <w:bCs/>
                <w:kern w:val="2"/>
                <w:sz w:val="18"/>
                <w:szCs w:val="18"/>
              </w:rPr>
            </w:pPr>
            <w:r>
              <w:rPr>
                <w:rFonts w:hint="eastAsia" w:hAnsi="宋体"/>
                <w:sz w:val="18"/>
                <w:szCs w:val="18"/>
              </w:rPr>
              <w:t>应填写争议交易或融资双方协商一致的争议解决方式，如仲裁、诉讼等</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 xml:space="preserve">仓单也是合同，明确争议解决方式，有助于信息完整性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6</w:t>
            </w:r>
            <w:r>
              <w:rPr>
                <w:rFonts w:hint="eastAsia" w:hAnsi="宋体"/>
                <w:sz w:val="18"/>
                <w:szCs w:val="18"/>
              </w:rPr>
              <w:t>）</w:t>
            </w:r>
          </w:p>
        </w:tc>
        <w:tc>
          <w:tcPr>
            <w:tcW w:w="829" w:type="dxa"/>
            <w:vAlign w:val="center"/>
          </w:tcPr>
          <w:p>
            <w:pPr>
              <w:pStyle w:val="16"/>
              <w:widowControl w:val="0"/>
              <w:ind w:firstLine="0" w:firstLineChars="0"/>
              <w:rPr>
                <w:rFonts w:hAnsi="宋体"/>
                <w:sz w:val="18"/>
                <w:szCs w:val="18"/>
              </w:rPr>
            </w:pPr>
            <w:r>
              <w:rPr>
                <w:rFonts w:hint="eastAsia" w:hAnsi="宋体"/>
                <w:sz w:val="18"/>
                <w:szCs w:val="18"/>
              </w:rPr>
              <w:t>附件</w:t>
            </w:r>
          </w:p>
        </w:tc>
        <w:tc>
          <w:tcPr>
            <w:tcW w:w="1126" w:type="dxa"/>
            <w:vAlign w:val="center"/>
          </w:tcPr>
          <w:p>
            <w:pPr>
              <w:pStyle w:val="16"/>
              <w:widowControl w:val="0"/>
              <w:ind w:firstLine="0" w:firstLineChars="0"/>
              <w:rPr>
                <w:rFonts w:hAnsi="宋体"/>
                <w:bCs/>
                <w:kern w:val="2"/>
                <w:sz w:val="18"/>
                <w:szCs w:val="18"/>
              </w:rPr>
            </w:pPr>
            <w:r>
              <w:rPr>
                <w:rFonts w:hint="eastAsia" w:hAnsi="宋体"/>
                <w:sz w:val="18"/>
                <w:szCs w:val="18"/>
              </w:rPr>
              <w:t>附件</w:t>
            </w:r>
          </w:p>
        </w:tc>
        <w:tc>
          <w:tcPr>
            <w:tcW w:w="1313" w:type="dxa"/>
            <w:vAlign w:val="center"/>
          </w:tcPr>
          <w:p>
            <w:pPr>
              <w:pStyle w:val="16"/>
              <w:widowControl w:val="0"/>
              <w:ind w:firstLine="0" w:firstLineChars="0"/>
              <w:rPr>
                <w:rFonts w:hAnsi="宋体"/>
                <w:bCs/>
                <w:kern w:val="2"/>
                <w:sz w:val="18"/>
                <w:szCs w:val="18"/>
              </w:rPr>
            </w:pPr>
            <w:r>
              <w:rPr>
                <w:rFonts w:hint="eastAsia" w:hAnsi="宋体"/>
                <w:sz w:val="18"/>
                <w:szCs w:val="18"/>
              </w:rPr>
              <w:t>粘贴在指定处，加盖骑缝章</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附件</w:t>
            </w:r>
          </w:p>
        </w:tc>
        <w:tc>
          <w:tcPr>
            <w:tcW w:w="899" w:type="dxa"/>
            <w:vAlign w:val="center"/>
          </w:tcPr>
          <w:p>
            <w:pPr>
              <w:pStyle w:val="16"/>
              <w:widowControl w:val="0"/>
              <w:ind w:firstLine="0" w:firstLineChars="0"/>
              <w:rPr>
                <w:rFonts w:hAnsi="宋体"/>
                <w:sz w:val="18"/>
                <w:szCs w:val="18"/>
              </w:rPr>
            </w:pPr>
            <w:r>
              <w:rPr>
                <w:rFonts w:hint="eastAsia" w:hAnsi="宋体"/>
                <w:sz w:val="18"/>
                <w:szCs w:val="18"/>
              </w:rPr>
              <w:t>附件</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宜链接相关电子文件</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增加对电子仓单的要求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sz w:val="18"/>
                <w:szCs w:val="18"/>
              </w:rPr>
            </w:pPr>
            <w:r>
              <w:rPr>
                <w:rFonts w:hint="eastAsia" w:hAnsi="宋体"/>
                <w:sz w:val="18"/>
                <w:szCs w:val="18"/>
              </w:rPr>
              <w:t>(</w:t>
            </w:r>
            <w:r>
              <w:rPr>
                <w:rFonts w:hAnsi="宋体"/>
                <w:sz w:val="18"/>
                <w:szCs w:val="18"/>
              </w:rPr>
              <w:t>17)</w:t>
            </w:r>
          </w:p>
        </w:tc>
        <w:tc>
          <w:tcPr>
            <w:tcW w:w="829" w:type="dxa"/>
            <w:vAlign w:val="center"/>
          </w:tcPr>
          <w:p>
            <w:pPr>
              <w:pStyle w:val="16"/>
              <w:widowControl w:val="0"/>
              <w:ind w:firstLine="0" w:firstLineChars="0"/>
              <w:rPr>
                <w:rFonts w:hAnsi="宋体"/>
                <w:sz w:val="18"/>
                <w:szCs w:val="18"/>
              </w:rPr>
            </w:pPr>
            <w:r>
              <w:rPr>
                <w:rFonts w:hint="eastAsia" w:hAnsi="宋体"/>
                <w:sz w:val="18"/>
                <w:szCs w:val="18"/>
              </w:rPr>
              <w:t>格式条款（说明、注意事项）</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根据业务需要选用，由存货人与保管人事前约定事项</w:t>
            </w:r>
          </w:p>
        </w:tc>
        <w:tc>
          <w:tcPr>
            <w:tcW w:w="1313" w:type="dxa"/>
            <w:vAlign w:val="center"/>
          </w:tcPr>
          <w:p>
            <w:pPr>
              <w:pStyle w:val="16"/>
              <w:widowControl w:val="0"/>
              <w:ind w:firstLine="0" w:firstLineChars="0"/>
              <w:rPr>
                <w:rFonts w:hAnsi="宋体"/>
                <w:sz w:val="18"/>
                <w:szCs w:val="18"/>
              </w:rPr>
            </w:pPr>
            <w:r>
              <w:rPr>
                <w:rFonts w:hint="eastAsia" w:hAnsi="宋体"/>
                <w:sz w:val="18"/>
                <w:szCs w:val="18"/>
              </w:rPr>
              <w:t>明确双方的基本权利义务</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格式条款</w:t>
            </w:r>
          </w:p>
        </w:tc>
        <w:tc>
          <w:tcPr>
            <w:tcW w:w="899" w:type="dxa"/>
            <w:vAlign w:val="center"/>
          </w:tcPr>
          <w:p>
            <w:pPr>
              <w:pStyle w:val="16"/>
              <w:widowControl w:val="0"/>
              <w:ind w:firstLine="0" w:firstLineChars="0"/>
              <w:rPr>
                <w:rFonts w:hAnsi="宋体"/>
                <w:sz w:val="18"/>
                <w:szCs w:val="18"/>
              </w:rPr>
            </w:pPr>
            <w:r>
              <w:rPr>
                <w:rFonts w:hint="eastAsia" w:hAnsi="宋体"/>
                <w:sz w:val="18"/>
                <w:szCs w:val="18"/>
              </w:rPr>
              <w:t>说明、注意事项</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根据业务需要选用，应由存货人与保管人事前约定事项，可用于明确双方的基本权利义务</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w:t>
            </w:r>
            <w:r>
              <w:rPr>
                <w:rFonts w:hint="eastAsia" w:hAnsi="宋体"/>
                <w:sz w:val="18"/>
                <w:szCs w:val="18"/>
              </w:rPr>
              <w:t>根据业务需要选用，由存货人与保管人事前约定事项”在原标准中做为可选用语，实际应为填写说明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8</w:t>
            </w:r>
            <w:r>
              <w:rPr>
                <w:rFonts w:hint="eastAsia" w:hAnsi="宋体"/>
                <w:sz w:val="18"/>
                <w:szCs w:val="18"/>
              </w:rPr>
              <w:t>）</w:t>
            </w:r>
          </w:p>
        </w:tc>
        <w:tc>
          <w:tcPr>
            <w:tcW w:w="829"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126"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1313"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rPr>
                <w:rFonts w:hAnsi="宋体"/>
                <w:sz w:val="18"/>
                <w:szCs w:val="18"/>
              </w:rPr>
            </w:pPr>
            <w:r>
              <w:rPr>
                <w:rFonts w:hint="eastAsia" w:hAnsi="宋体"/>
                <w:sz w:val="18"/>
                <w:szCs w:val="18"/>
              </w:rPr>
              <w:t>备注</w:t>
            </w:r>
          </w:p>
        </w:tc>
        <w:tc>
          <w:tcPr>
            <w:tcW w:w="899" w:type="dxa"/>
            <w:vAlign w:val="center"/>
          </w:tcPr>
          <w:p>
            <w:pPr>
              <w:pStyle w:val="16"/>
              <w:widowControl w:val="0"/>
              <w:ind w:firstLine="0" w:firstLineChars="0"/>
              <w:rPr>
                <w:rFonts w:hAnsi="宋体"/>
                <w:sz w:val="18"/>
                <w:szCs w:val="18"/>
              </w:rPr>
            </w:pPr>
            <w:r>
              <w:rPr>
                <w:rFonts w:hint="eastAsia" w:hAnsi="宋体"/>
                <w:sz w:val="18"/>
                <w:szCs w:val="18"/>
              </w:rPr>
              <w:t>备注</w:t>
            </w:r>
          </w:p>
        </w:tc>
        <w:tc>
          <w:tcPr>
            <w:tcW w:w="1249" w:type="dxa"/>
            <w:vAlign w:val="center"/>
          </w:tcPr>
          <w:p>
            <w:pPr>
              <w:pStyle w:val="16"/>
              <w:widowControl w:val="0"/>
              <w:ind w:firstLine="0" w:firstLineChars="0"/>
              <w:rPr>
                <w:rFonts w:hAnsi="宋体"/>
                <w:sz w:val="18"/>
                <w:szCs w:val="18"/>
              </w:rPr>
            </w:pPr>
            <w:r>
              <w:rPr>
                <w:rFonts w:hint="eastAsia" w:hAnsi="宋体"/>
                <w:sz w:val="18"/>
                <w:szCs w:val="18"/>
              </w:rPr>
              <w:t>可填写其他需要说明的事项</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各类业务存在差异，增加备注，给业务各方描述相关信息，留有空间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（1</w:t>
            </w:r>
            <w:r>
              <w:rPr>
                <w:rFonts w:hAnsi="宋体"/>
                <w:sz w:val="18"/>
                <w:szCs w:val="18"/>
              </w:rPr>
              <w:t>9</w:t>
            </w:r>
            <w:r>
              <w:rPr>
                <w:rFonts w:hint="eastAsia" w:hAnsi="宋体"/>
                <w:sz w:val="18"/>
                <w:szCs w:val="18"/>
              </w:rPr>
              <w:t>）</w:t>
            </w:r>
          </w:p>
        </w:tc>
        <w:tc>
          <w:tcPr>
            <w:tcW w:w="829" w:type="dxa"/>
            <w:vAlign w:val="center"/>
          </w:tcPr>
          <w:p>
            <w:pPr>
              <w:pStyle w:val="16"/>
              <w:widowControl w:val="0"/>
              <w:ind w:firstLine="0" w:firstLineChars="0"/>
              <w:rPr>
                <w:rFonts w:hAnsi="宋体"/>
                <w:bCs/>
                <w:kern w:val="2"/>
                <w:sz w:val="18"/>
                <w:szCs w:val="18"/>
              </w:rPr>
            </w:pPr>
            <w:r>
              <w:rPr>
                <w:rFonts w:hint="eastAsia" w:hAnsi="宋体"/>
                <w:sz w:val="18"/>
                <w:szCs w:val="18"/>
              </w:rPr>
              <w:t>复核、记账</w:t>
            </w:r>
          </w:p>
        </w:tc>
        <w:tc>
          <w:tcPr>
            <w:tcW w:w="1126" w:type="dxa"/>
            <w:vAlign w:val="center"/>
          </w:tcPr>
          <w:p>
            <w:pPr>
              <w:pStyle w:val="16"/>
              <w:widowControl w:val="0"/>
              <w:ind w:firstLine="0" w:firstLineChars="0"/>
              <w:rPr>
                <w:rFonts w:hAnsi="宋体"/>
                <w:bCs/>
                <w:kern w:val="2"/>
                <w:sz w:val="18"/>
                <w:szCs w:val="18"/>
              </w:rPr>
            </w:pPr>
            <w:r>
              <w:rPr>
                <w:rFonts w:hint="eastAsia" w:hAnsi="宋体"/>
                <w:sz w:val="18"/>
                <w:szCs w:val="18"/>
              </w:rPr>
              <w:t>复核、记账</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与本标准无关，故删除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（2</w:t>
            </w:r>
            <w:r>
              <w:rPr>
                <w:rFonts w:hAnsi="宋体"/>
                <w:sz w:val="18"/>
                <w:szCs w:val="18"/>
              </w:rPr>
              <w:t>0</w:t>
            </w:r>
            <w:r>
              <w:rPr>
                <w:rFonts w:hint="eastAsia" w:hAnsi="宋体"/>
                <w:sz w:val="18"/>
                <w:szCs w:val="18"/>
              </w:rPr>
              <w:t>）</w:t>
            </w:r>
          </w:p>
        </w:tc>
        <w:tc>
          <w:tcPr>
            <w:tcW w:w="829" w:type="dxa"/>
            <w:vAlign w:val="center"/>
          </w:tcPr>
          <w:p>
            <w:pPr>
              <w:pStyle w:val="16"/>
              <w:widowControl w:val="0"/>
              <w:ind w:firstLine="0" w:firstLineChars="0"/>
              <w:rPr>
                <w:rFonts w:hAnsi="宋体"/>
                <w:bCs/>
                <w:kern w:val="2"/>
                <w:sz w:val="18"/>
                <w:szCs w:val="18"/>
              </w:rPr>
            </w:pPr>
            <w:r>
              <w:rPr>
                <w:rFonts w:hint="eastAsia" w:hAnsi="宋体"/>
                <w:sz w:val="18"/>
                <w:szCs w:val="18"/>
              </w:rPr>
              <w:t>货品编码</w:t>
            </w:r>
          </w:p>
        </w:tc>
        <w:tc>
          <w:tcPr>
            <w:tcW w:w="1126" w:type="dxa"/>
            <w:vAlign w:val="center"/>
          </w:tcPr>
          <w:p>
            <w:pPr>
              <w:pStyle w:val="16"/>
              <w:widowControl w:val="0"/>
              <w:ind w:firstLine="0" w:firstLineChars="0"/>
              <w:rPr>
                <w:rFonts w:hAnsi="宋体"/>
                <w:bCs/>
                <w:kern w:val="2"/>
                <w:sz w:val="18"/>
                <w:szCs w:val="18"/>
              </w:rPr>
            </w:pPr>
            <w:r>
              <w:rPr>
                <w:rFonts w:hint="eastAsia" w:hAnsi="宋体"/>
                <w:sz w:val="18"/>
                <w:szCs w:val="18"/>
              </w:rPr>
              <w:t>货品编码、商品编码</w:t>
            </w:r>
          </w:p>
        </w:tc>
        <w:tc>
          <w:tcPr>
            <w:tcW w:w="1313"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与本标准无关，故删除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21)</w:t>
            </w:r>
          </w:p>
        </w:tc>
        <w:tc>
          <w:tcPr>
            <w:tcW w:w="829" w:type="dxa"/>
            <w:vAlign w:val="center"/>
          </w:tcPr>
          <w:p>
            <w:pPr>
              <w:pStyle w:val="16"/>
              <w:widowControl w:val="0"/>
              <w:ind w:firstLine="0" w:firstLineChars="0"/>
              <w:rPr>
                <w:rFonts w:hAnsi="宋体"/>
                <w:bCs/>
                <w:kern w:val="2"/>
                <w:sz w:val="18"/>
                <w:szCs w:val="18"/>
              </w:rPr>
            </w:pPr>
            <w:r>
              <w:rPr>
                <w:rFonts w:hint="eastAsia" w:hAnsi="宋体"/>
                <w:sz w:val="18"/>
                <w:szCs w:val="18"/>
              </w:rPr>
              <w:t>“保兑”字样</w:t>
            </w:r>
          </w:p>
        </w:tc>
        <w:tc>
          <w:tcPr>
            <w:tcW w:w="1126" w:type="dxa"/>
            <w:vAlign w:val="center"/>
          </w:tcPr>
          <w:p>
            <w:pPr>
              <w:pStyle w:val="16"/>
              <w:widowControl w:val="0"/>
              <w:ind w:firstLine="0" w:firstLineChars="0"/>
              <w:rPr>
                <w:rFonts w:hAnsi="宋体"/>
                <w:bCs/>
                <w:kern w:val="2"/>
                <w:sz w:val="18"/>
                <w:szCs w:val="18"/>
              </w:rPr>
            </w:pPr>
            <w:r>
              <w:rPr>
                <w:rFonts w:hint="eastAsia" w:hAnsi="宋体"/>
                <w:sz w:val="18"/>
                <w:szCs w:val="18"/>
              </w:rPr>
              <w:t>保兑</w:t>
            </w:r>
          </w:p>
        </w:tc>
        <w:tc>
          <w:tcPr>
            <w:tcW w:w="1313" w:type="dxa"/>
            <w:vAlign w:val="center"/>
          </w:tcPr>
          <w:p>
            <w:pPr>
              <w:pStyle w:val="16"/>
              <w:widowControl w:val="0"/>
              <w:ind w:firstLine="0" w:firstLineChars="0"/>
              <w:rPr>
                <w:rFonts w:hAnsi="宋体"/>
                <w:bCs/>
                <w:kern w:val="2"/>
                <w:sz w:val="18"/>
                <w:szCs w:val="18"/>
              </w:rPr>
            </w:pPr>
            <w:r>
              <w:rPr>
                <w:rFonts w:hint="eastAsia" w:hAnsi="宋体"/>
                <w:sz w:val="18"/>
                <w:szCs w:val="18"/>
              </w:rPr>
              <w:t>应在正本提货联正面显著位置</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与本标准无关，故删除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22)</w:t>
            </w:r>
          </w:p>
        </w:tc>
        <w:tc>
          <w:tcPr>
            <w:tcW w:w="829" w:type="dxa"/>
            <w:vAlign w:val="center"/>
          </w:tcPr>
          <w:p>
            <w:pPr>
              <w:pStyle w:val="16"/>
              <w:widowControl w:val="0"/>
              <w:ind w:firstLine="0" w:firstLineChars="0"/>
              <w:rPr>
                <w:rFonts w:hAnsi="宋体"/>
                <w:sz w:val="18"/>
                <w:szCs w:val="18"/>
              </w:rPr>
            </w:pPr>
            <w:r>
              <w:rPr>
                <w:rFonts w:hint="eastAsia" w:hAnsi="宋体"/>
                <w:sz w:val="18"/>
                <w:szCs w:val="18"/>
              </w:rPr>
              <w:t>仓单保兑人签章</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保兑人</w:t>
            </w:r>
          </w:p>
        </w:tc>
        <w:tc>
          <w:tcPr>
            <w:tcW w:w="1313" w:type="dxa"/>
            <w:vAlign w:val="center"/>
          </w:tcPr>
          <w:p>
            <w:pPr>
              <w:pStyle w:val="16"/>
              <w:widowControl w:val="0"/>
              <w:ind w:firstLine="0" w:firstLineChars="0"/>
              <w:rPr>
                <w:rFonts w:hAnsi="宋体"/>
                <w:sz w:val="18"/>
                <w:szCs w:val="18"/>
              </w:rPr>
            </w:pPr>
            <w:r>
              <w:rPr>
                <w:rFonts w:hint="eastAsia" w:hAnsi="宋体"/>
                <w:sz w:val="18"/>
                <w:szCs w:val="18"/>
              </w:rPr>
              <w:t>实名全称</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vAlign w:val="center"/>
          </w:tcPr>
          <w:p>
            <w:pPr>
              <w:pStyle w:val="16"/>
              <w:widowControl w:val="0"/>
              <w:ind w:firstLine="0" w:firstLineChars="0"/>
              <w:rPr>
                <w:rFonts w:hAnsi="宋体"/>
                <w:bCs/>
                <w:kern w:val="2"/>
                <w:sz w:val="18"/>
                <w:szCs w:val="18"/>
              </w:rPr>
            </w:pPr>
            <w:r>
              <w:rPr>
                <w:rFonts w:hint="eastAsia" w:hAnsi="宋体"/>
                <w:bCs/>
                <w:kern w:val="2"/>
                <w:sz w:val="18"/>
                <w:szCs w:val="18"/>
              </w:rPr>
              <w:t>与本标准无关，故删除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23)</w:t>
            </w:r>
          </w:p>
        </w:tc>
        <w:tc>
          <w:tcPr>
            <w:tcW w:w="829" w:type="dxa"/>
            <w:vAlign w:val="center"/>
          </w:tcPr>
          <w:p>
            <w:pPr>
              <w:pStyle w:val="16"/>
              <w:widowControl w:val="0"/>
              <w:ind w:firstLine="0" w:firstLineChars="0"/>
              <w:rPr>
                <w:rFonts w:hAnsi="宋体"/>
                <w:sz w:val="18"/>
                <w:szCs w:val="18"/>
              </w:rPr>
            </w:pPr>
            <w:r>
              <w:rPr>
                <w:rFonts w:hint="eastAsia" w:hAnsi="宋体"/>
                <w:sz w:val="18"/>
                <w:szCs w:val="18"/>
              </w:rPr>
              <w:t>存货库位</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 xml:space="preserve">货物存放库位 </w:t>
            </w:r>
          </w:p>
        </w:tc>
        <w:tc>
          <w:tcPr>
            <w:tcW w:w="1313" w:type="dxa"/>
            <w:vAlign w:val="center"/>
          </w:tcPr>
          <w:p>
            <w:pPr>
              <w:pStyle w:val="16"/>
              <w:widowControl w:val="0"/>
              <w:ind w:firstLine="0" w:firstLineChars="0"/>
              <w:jc w:val="center"/>
              <w:rPr>
                <w:rFonts w:hAnsi="宋体"/>
                <w:sz w:val="18"/>
                <w:szCs w:val="18"/>
              </w:rPr>
            </w:pPr>
            <w:r>
              <w:rPr>
                <w:rFonts w:hint="eastAsia" w:hAnsi="宋体"/>
                <w:bCs/>
                <w:kern w:val="2"/>
                <w:sz w:val="18"/>
                <w:szCs w:val="18"/>
              </w:rPr>
              <w:t>—</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对于判断仓单项下货物重要，故调至必备要素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vAlign w:val="center"/>
          </w:tcPr>
          <w:p>
            <w:pPr>
              <w:pStyle w:val="16"/>
              <w:widowControl w:val="0"/>
              <w:ind w:firstLine="0" w:firstLineChars="0"/>
              <w:rPr>
                <w:rFonts w:hAnsi="宋体"/>
                <w:bCs/>
                <w:kern w:val="2"/>
                <w:sz w:val="18"/>
                <w:szCs w:val="18"/>
              </w:rPr>
            </w:pPr>
            <w:r>
              <w:rPr>
                <w:rFonts w:hint="eastAsia" w:hAnsi="宋体"/>
                <w:sz w:val="18"/>
                <w:szCs w:val="18"/>
              </w:rPr>
              <w:t>(</w:t>
            </w:r>
            <w:r>
              <w:rPr>
                <w:rFonts w:hAnsi="宋体"/>
                <w:sz w:val="18"/>
                <w:szCs w:val="18"/>
              </w:rPr>
              <w:t>24)</w:t>
            </w:r>
          </w:p>
        </w:tc>
        <w:tc>
          <w:tcPr>
            <w:tcW w:w="829" w:type="dxa"/>
            <w:vAlign w:val="center"/>
          </w:tcPr>
          <w:p>
            <w:pPr>
              <w:pStyle w:val="16"/>
              <w:widowControl w:val="0"/>
              <w:ind w:firstLine="0" w:firstLineChars="0"/>
              <w:rPr>
                <w:rFonts w:hAnsi="宋体"/>
                <w:sz w:val="18"/>
                <w:szCs w:val="18"/>
              </w:rPr>
            </w:pPr>
            <w:r>
              <w:rPr>
                <w:rFonts w:hAnsi="宋体"/>
                <w:sz w:val="18"/>
                <w:szCs w:val="18"/>
              </w:rPr>
              <w:t>电子签名栏</w:t>
            </w:r>
          </w:p>
        </w:tc>
        <w:tc>
          <w:tcPr>
            <w:tcW w:w="1126" w:type="dxa"/>
            <w:vAlign w:val="center"/>
          </w:tcPr>
          <w:p>
            <w:pPr>
              <w:pStyle w:val="16"/>
              <w:widowControl w:val="0"/>
              <w:ind w:firstLine="0" w:firstLineChars="0"/>
              <w:rPr>
                <w:rFonts w:hAnsi="宋体"/>
                <w:sz w:val="18"/>
                <w:szCs w:val="18"/>
              </w:rPr>
            </w:pPr>
            <w:r>
              <w:rPr>
                <w:rFonts w:hint="eastAsia" w:hAnsi="宋体"/>
                <w:sz w:val="18"/>
                <w:szCs w:val="18"/>
              </w:rPr>
              <w:t>电子签名</w:t>
            </w:r>
          </w:p>
        </w:tc>
        <w:tc>
          <w:tcPr>
            <w:tcW w:w="1313" w:type="dxa"/>
            <w:vAlign w:val="center"/>
          </w:tcPr>
          <w:p>
            <w:pPr>
              <w:pStyle w:val="16"/>
              <w:widowControl w:val="0"/>
              <w:ind w:firstLine="0" w:firstLineChars="0"/>
              <w:rPr>
                <w:rFonts w:hAnsi="宋体"/>
                <w:sz w:val="18"/>
                <w:szCs w:val="18"/>
              </w:rPr>
            </w:pPr>
            <w:r>
              <w:rPr>
                <w:rFonts w:hint="eastAsia" w:hAnsi="宋体"/>
                <w:sz w:val="18"/>
                <w:szCs w:val="18"/>
              </w:rPr>
              <w:t>电子仓单使用</w:t>
            </w:r>
          </w:p>
        </w:tc>
        <w:tc>
          <w:tcPr>
            <w:tcW w:w="933" w:type="dxa"/>
            <w:gridSpan w:val="2"/>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89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249" w:type="dxa"/>
            <w:vAlign w:val="center"/>
          </w:tcPr>
          <w:p>
            <w:pPr>
              <w:pStyle w:val="16"/>
              <w:widowControl w:val="0"/>
              <w:ind w:firstLine="0" w:firstLineChars="0"/>
              <w:jc w:val="center"/>
              <w:rPr>
                <w:rFonts w:hAnsi="宋体"/>
                <w:bCs/>
                <w:kern w:val="2"/>
                <w:sz w:val="18"/>
                <w:szCs w:val="18"/>
              </w:rPr>
            </w:pPr>
            <w:r>
              <w:rPr>
                <w:rFonts w:hint="eastAsia" w:hAnsi="宋体"/>
                <w:bCs/>
                <w:kern w:val="2"/>
                <w:sz w:val="18"/>
                <w:szCs w:val="18"/>
              </w:rPr>
              <w:t>—</w:t>
            </w:r>
          </w:p>
        </w:tc>
        <w:tc>
          <w:tcPr>
            <w:tcW w:w="1701" w:type="dxa"/>
          </w:tcPr>
          <w:p>
            <w:pPr>
              <w:pStyle w:val="16"/>
              <w:widowControl w:val="0"/>
              <w:ind w:firstLine="0" w:firstLineChars="0"/>
              <w:rPr>
                <w:rFonts w:hAnsi="宋体"/>
                <w:bCs/>
                <w:kern w:val="2"/>
                <w:sz w:val="18"/>
                <w:szCs w:val="18"/>
              </w:rPr>
            </w:pPr>
            <w:r>
              <w:rPr>
                <w:rFonts w:hint="eastAsia" w:hAnsi="宋体"/>
                <w:bCs/>
                <w:kern w:val="2"/>
                <w:sz w:val="18"/>
                <w:szCs w:val="18"/>
              </w:rPr>
              <w:t>已经分散到其他要素中</w:t>
            </w:r>
          </w:p>
        </w:tc>
      </w:tr>
    </w:tbl>
    <w:p>
      <w:pPr>
        <w:pStyle w:val="16"/>
        <w:ind w:firstLine="562"/>
        <w:rPr>
          <w:rFonts w:ascii="仿宋" w:hAnsi="仿宋" w:eastAsia="仿宋" w:cs="仿宋"/>
          <w:b/>
          <w:sz w:val="28"/>
          <w:szCs w:val="28"/>
        </w:rPr>
      </w:pPr>
      <w:r>
        <w:rPr>
          <w:rFonts w:hint="eastAsia" w:ascii="仿宋" w:hAnsi="仿宋" w:eastAsia="仿宋" w:cs="仿宋"/>
          <w:b/>
          <w:sz w:val="28"/>
          <w:szCs w:val="28"/>
        </w:rPr>
        <w:t>6、第</w:t>
      </w:r>
      <w:r>
        <w:rPr>
          <w:rFonts w:ascii="仿宋" w:hAnsi="仿宋" w:eastAsia="仿宋" w:cs="仿宋"/>
          <w:b/>
          <w:sz w:val="28"/>
          <w:szCs w:val="28"/>
        </w:rPr>
        <w:t>7</w:t>
      </w:r>
      <w:r>
        <w:rPr>
          <w:rFonts w:hint="eastAsia" w:ascii="仿宋" w:hAnsi="仿宋" w:eastAsia="仿宋" w:cs="仿宋"/>
          <w:b/>
          <w:sz w:val="28"/>
          <w:szCs w:val="28"/>
        </w:rPr>
        <w:t>章“仓单格式”</w:t>
      </w:r>
    </w:p>
    <w:p>
      <w:pPr>
        <w:pStyle w:val="16"/>
        <w:ind w:firstLine="560"/>
        <w:rPr>
          <w:rFonts w:ascii="仿宋" w:hAnsi="仿宋" w:eastAsia="仿宋"/>
          <w:bCs/>
          <w:sz w:val="28"/>
          <w:szCs w:val="28"/>
        </w:rPr>
      </w:pPr>
      <w:r>
        <w:rPr>
          <w:rFonts w:hint="eastAsia" w:ascii="仿宋" w:hAnsi="仿宋" w:eastAsia="仿宋" w:cs="仿宋"/>
          <w:bCs/>
          <w:sz w:val="28"/>
          <w:szCs w:val="28"/>
        </w:rPr>
        <w:t>此章为新增章节，格式做为标准的重要部分，应用独立章节进行规范。</w:t>
      </w:r>
      <w:r>
        <w:rPr>
          <w:rFonts w:hint="eastAsia" w:ascii="仿宋" w:hAnsi="仿宋" w:eastAsia="仿宋"/>
          <w:bCs/>
          <w:kern w:val="2"/>
          <w:sz w:val="28"/>
          <w:szCs w:val="28"/>
        </w:rPr>
        <w:t>修订前的国家标准，将纸质仓单的联数、纸质仓单的填写要求等内容分散在“仓单的印制与打印”章节。考虑到这些内容属于格式的部分，因此，将此两条内容放入本章节。</w:t>
      </w:r>
      <w:r>
        <w:rPr>
          <w:rFonts w:hint="eastAsia" w:ascii="仿宋" w:hAnsi="仿宋" w:eastAsia="仿宋" w:cs="仿宋"/>
          <w:bCs/>
          <w:sz w:val="28"/>
          <w:szCs w:val="28"/>
        </w:rPr>
        <w:t>其他</w:t>
      </w:r>
      <w:r>
        <w:rPr>
          <w:rFonts w:hint="eastAsia" w:ascii="仿宋" w:hAnsi="仿宋" w:eastAsia="仿宋"/>
          <w:bCs/>
          <w:sz w:val="28"/>
          <w:szCs w:val="28"/>
        </w:rPr>
        <w:t>调整内容及具体原因如下：</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830"/>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6"/>
              <w:widowControl w:val="0"/>
              <w:ind w:firstLine="0" w:firstLineChars="0"/>
              <w:jc w:val="center"/>
              <w:rPr>
                <w:rFonts w:hAnsi="宋体" w:cs="仿宋"/>
                <w:b/>
                <w:sz w:val="18"/>
                <w:szCs w:val="18"/>
              </w:rPr>
            </w:pPr>
            <w:r>
              <w:rPr>
                <w:rFonts w:hint="eastAsia" w:hAnsi="宋体" w:cs="仿宋"/>
                <w:b/>
                <w:sz w:val="18"/>
                <w:szCs w:val="18"/>
              </w:rPr>
              <w:t>原标准</w:t>
            </w:r>
          </w:p>
        </w:tc>
        <w:tc>
          <w:tcPr>
            <w:tcW w:w="2830" w:type="dxa"/>
          </w:tcPr>
          <w:p>
            <w:pPr>
              <w:pStyle w:val="16"/>
              <w:widowControl w:val="0"/>
              <w:ind w:firstLine="0" w:firstLineChars="0"/>
              <w:jc w:val="center"/>
              <w:rPr>
                <w:rFonts w:hAnsi="宋体" w:cs="仿宋"/>
                <w:b/>
                <w:sz w:val="18"/>
                <w:szCs w:val="18"/>
              </w:rPr>
            </w:pPr>
            <w:r>
              <w:rPr>
                <w:rFonts w:hint="eastAsia" w:hAnsi="宋体" w:cs="仿宋"/>
                <w:b/>
                <w:sz w:val="18"/>
                <w:szCs w:val="18"/>
              </w:rPr>
              <w:t>本标准</w:t>
            </w:r>
          </w:p>
        </w:tc>
        <w:tc>
          <w:tcPr>
            <w:tcW w:w="4353" w:type="dxa"/>
          </w:tcPr>
          <w:p>
            <w:pPr>
              <w:pStyle w:val="16"/>
              <w:widowControl w:val="0"/>
              <w:ind w:firstLine="0" w:firstLineChars="0"/>
              <w:jc w:val="center"/>
              <w:rPr>
                <w:rFonts w:hAnsi="宋体" w:cs="仿宋"/>
                <w:b/>
                <w:sz w:val="18"/>
                <w:szCs w:val="18"/>
              </w:rPr>
            </w:pPr>
            <w:r>
              <w:rPr>
                <w:rFonts w:hint="eastAsia" w:hAnsi="宋体" w:cs="仿宋"/>
                <w:b/>
                <w:sz w:val="18"/>
                <w:szCs w:val="18"/>
              </w:rPr>
              <w:t>修订依据/理由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6"/>
              <w:widowControl w:val="0"/>
              <w:ind w:firstLine="0" w:firstLineChars="0"/>
              <w:rPr>
                <w:rFonts w:hAnsi="宋体" w:cs="仿宋"/>
                <w:bCs/>
                <w:sz w:val="18"/>
                <w:szCs w:val="18"/>
              </w:rPr>
            </w:pPr>
            <w:r>
              <w:rPr>
                <w:rFonts w:hint="eastAsia" w:hAnsi="宋体" w:cs="仿宋"/>
                <w:bCs/>
                <w:sz w:val="18"/>
                <w:szCs w:val="18"/>
              </w:rPr>
              <w:t>6</w:t>
            </w:r>
            <w:r>
              <w:rPr>
                <w:rFonts w:hAnsi="宋体" w:cs="仿宋"/>
                <w:bCs/>
                <w:sz w:val="18"/>
                <w:szCs w:val="18"/>
              </w:rPr>
              <w:t xml:space="preserve">.1 </w:t>
            </w:r>
            <w:r>
              <w:rPr>
                <w:rFonts w:hint="eastAsia" w:hAnsi="宋体" w:cs="仿宋"/>
                <w:bCs/>
                <w:sz w:val="18"/>
                <w:szCs w:val="18"/>
              </w:rPr>
              <w:t>印制要求</w:t>
            </w:r>
          </w:p>
        </w:tc>
        <w:tc>
          <w:tcPr>
            <w:tcW w:w="28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考虑到本标准规范的是仓单的要素与格式，因此，删除了印制要求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2830" w:type="dxa"/>
          </w:tcPr>
          <w:p>
            <w:pPr>
              <w:pStyle w:val="16"/>
              <w:widowControl/>
              <w:ind w:firstLine="0" w:firstLineChars="0"/>
              <w:rPr>
                <w:rFonts w:hAnsi="宋体" w:cs="仿宋"/>
                <w:bCs/>
                <w:sz w:val="18"/>
                <w:szCs w:val="18"/>
              </w:rPr>
            </w:pPr>
            <w:r>
              <w:rPr>
                <w:rFonts w:hint="eastAsia" w:hAnsi="宋体" w:cs="仿宋"/>
                <w:bCs/>
                <w:sz w:val="18"/>
                <w:szCs w:val="18"/>
              </w:rPr>
              <w:t>7.1　仓单格式应将出具面要素与背书面要素按区域明显划分，宜将出具面要素列入仓单正面，宜将背书面要素列入仓单背书面。具体格式参见附录A</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起草小组参考会计凭证以及实务中仓单的实例，一般正面是与凭证内容相关的基础且必要的票面信息，持有人通过这些基础信息，可大致了解凭证的基础情况；背面为背书页，主要是记载背书人、被背书人等一些背书操作的相关信息。考虑到市场习惯，起草小组也对仓单进行了相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2830" w:type="dxa"/>
          </w:tcPr>
          <w:p>
            <w:pPr>
              <w:pStyle w:val="16"/>
              <w:widowControl/>
              <w:ind w:firstLine="0" w:firstLineChars="0"/>
              <w:rPr>
                <w:rFonts w:hAnsi="宋体" w:cs="仿宋"/>
                <w:bCs/>
                <w:sz w:val="18"/>
                <w:szCs w:val="18"/>
              </w:rPr>
            </w:pPr>
            <w:r>
              <w:rPr>
                <w:rFonts w:hint="eastAsia" w:hAnsi="宋体" w:cs="仿宋"/>
                <w:bCs/>
                <w:sz w:val="18"/>
                <w:szCs w:val="18"/>
              </w:rPr>
              <w:t>7.2　仓单要素的排列应具有内在的关联性</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为方便查阅仓单相关信息，具有内在联系的要素信息提出相对集中排列的要求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2830" w:type="dxa"/>
          </w:tcPr>
          <w:p>
            <w:pPr>
              <w:pStyle w:val="16"/>
              <w:widowControl/>
              <w:ind w:firstLine="0" w:firstLineChars="0"/>
              <w:rPr>
                <w:rFonts w:hAnsi="宋体" w:cs="仿宋"/>
                <w:bCs/>
                <w:sz w:val="18"/>
                <w:szCs w:val="18"/>
              </w:rPr>
            </w:pPr>
            <w:r>
              <w:rPr>
                <w:rFonts w:hint="eastAsia" w:hAnsi="宋体" w:cs="仿宋"/>
                <w:bCs/>
                <w:sz w:val="18"/>
                <w:szCs w:val="18"/>
              </w:rPr>
              <w:t>7.3　仓单上必备要素应记载齐全</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根据《民法典》第九百零九条规定，仓单应具备一定要素才是有效的权利凭证，因此，修订后的标准强调了必备要素应记载齐全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2830" w:type="dxa"/>
          </w:tcPr>
          <w:p>
            <w:pPr>
              <w:pStyle w:val="16"/>
              <w:widowControl w:val="0"/>
              <w:ind w:firstLine="0" w:firstLineChars="0"/>
              <w:rPr>
                <w:rFonts w:hAnsi="宋体" w:cs="仿宋"/>
                <w:bCs/>
                <w:sz w:val="18"/>
                <w:szCs w:val="18"/>
              </w:rPr>
            </w:pPr>
            <w:r>
              <w:rPr>
                <w:rFonts w:hint="eastAsia" w:hAnsi="宋体" w:cs="仿宋"/>
                <w:bCs/>
                <w:sz w:val="18"/>
                <w:szCs w:val="18"/>
              </w:rPr>
              <w:t>7.6　电子仓单在需要打印成纸质形式的情况下，应在仓单明显位置标注“不可流转复印件”。</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电子仓单在存档、系统出现问题或其他需要的情况下，有打印电子仓单的需求，为避免一货多单的情况，提出在仓单明显位置标注“不可流转复印件”的要求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pStyle w:val="16"/>
              <w:widowControl w:val="0"/>
              <w:ind w:firstLine="0" w:firstLineChars="0"/>
              <w:jc w:val="center"/>
              <w:rPr>
                <w:rFonts w:hAnsi="宋体" w:cs="仿宋"/>
                <w:bCs/>
                <w:sz w:val="18"/>
                <w:szCs w:val="18"/>
              </w:rPr>
            </w:pPr>
            <w:r>
              <w:rPr>
                <w:rFonts w:hint="eastAsia" w:hAnsi="宋体"/>
                <w:bCs/>
                <w:kern w:val="2"/>
                <w:sz w:val="18"/>
                <w:szCs w:val="18"/>
              </w:rPr>
              <w:t>—</w:t>
            </w:r>
          </w:p>
        </w:tc>
        <w:tc>
          <w:tcPr>
            <w:tcW w:w="2830" w:type="dxa"/>
          </w:tcPr>
          <w:p>
            <w:pPr>
              <w:pStyle w:val="16"/>
              <w:widowControl w:val="0"/>
              <w:ind w:firstLine="0" w:firstLineChars="0"/>
              <w:rPr>
                <w:rFonts w:hAnsi="宋体" w:cs="仿宋"/>
                <w:bCs/>
                <w:sz w:val="18"/>
                <w:szCs w:val="18"/>
              </w:rPr>
            </w:pPr>
            <w:r>
              <w:rPr>
                <w:rFonts w:hint="eastAsia" w:hAnsi="宋体" w:cs="仿宋"/>
                <w:bCs/>
                <w:sz w:val="18"/>
                <w:szCs w:val="18"/>
              </w:rPr>
              <w:t>仓单应具有唯一性</w:t>
            </w:r>
          </w:p>
        </w:tc>
        <w:tc>
          <w:tcPr>
            <w:tcW w:w="4353" w:type="dxa"/>
          </w:tcPr>
          <w:p>
            <w:pPr>
              <w:pStyle w:val="16"/>
              <w:widowControl w:val="0"/>
              <w:ind w:firstLine="0" w:firstLineChars="0"/>
              <w:rPr>
                <w:rFonts w:hAnsi="宋体" w:cs="仿宋"/>
                <w:bCs/>
                <w:sz w:val="18"/>
                <w:szCs w:val="18"/>
              </w:rPr>
            </w:pPr>
            <w:r>
              <w:rPr>
                <w:rFonts w:hint="eastAsia" w:hAnsi="宋体" w:cs="仿宋"/>
                <w:bCs/>
                <w:sz w:val="18"/>
                <w:szCs w:val="18"/>
              </w:rPr>
              <w:t>唯一性是仓单的基本要求，因此，在格式部分删除了此条内容，在基本要求部分，增加了要求</w:t>
            </w:r>
          </w:p>
        </w:tc>
      </w:tr>
    </w:tbl>
    <w:p>
      <w:pPr>
        <w:pStyle w:val="16"/>
        <w:ind w:firstLine="562"/>
        <w:rPr>
          <w:rFonts w:ascii="仿宋" w:hAnsi="仿宋" w:eastAsia="仿宋"/>
          <w:bCs/>
          <w:kern w:val="2"/>
          <w:sz w:val="28"/>
          <w:szCs w:val="28"/>
        </w:rPr>
      </w:pPr>
      <w:r>
        <w:rPr>
          <w:rFonts w:hint="eastAsia" w:ascii="仿宋" w:hAnsi="仿宋" w:eastAsia="仿宋" w:cs="仿宋"/>
          <w:b/>
          <w:sz w:val="28"/>
          <w:szCs w:val="28"/>
        </w:rPr>
        <w:t>7、第</w:t>
      </w:r>
      <w:r>
        <w:rPr>
          <w:rFonts w:ascii="仿宋" w:hAnsi="仿宋" w:eastAsia="仿宋" w:cs="仿宋"/>
          <w:b/>
          <w:sz w:val="28"/>
          <w:szCs w:val="28"/>
        </w:rPr>
        <w:t>6</w:t>
      </w:r>
      <w:r>
        <w:rPr>
          <w:rFonts w:hint="eastAsia" w:ascii="仿宋" w:hAnsi="仿宋" w:eastAsia="仿宋" w:cs="仿宋"/>
          <w:b/>
          <w:sz w:val="28"/>
          <w:szCs w:val="28"/>
        </w:rPr>
        <w:t>章“仓单的填写与打印”</w:t>
      </w:r>
    </w:p>
    <w:p>
      <w:pPr>
        <w:pStyle w:val="16"/>
        <w:ind w:firstLine="560"/>
        <w:rPr>
          <w:rFonts w:ascii="仿宋" w:hAnsi="仿宋" w:eastAsia="仿宋"/>
          <w:bCs/>
          <w:kern w:val="2"/>
          <w:sz w:val="28"/>
          <w:szCs w:val="28"/>
        </w:rPr>
      </w:pPr>
      <w:r>
        <w:rPr>
          <w:rFonts w:hint="eastAsia" w:ascii="仿宋" w:hAnsi="仿宋" w:eastAsia="仿宋" w:cs="仿宋"/>
          <w:sz w:val="28"/>
          <w:szCs w:val="28"/>
        </w:rPr>
        <w:t>涉及格式内容，已经转入第7章，其他不相关内容已删除。</w:t>
      </w:r>
    </w:p>
    <w:p>
      <w:pPr>
        <w:ind w:firstLine="560" w:firstLineChars="200"/>
        <w:rPr>
          <w:rFonts w:ascii="仿宋" w:hAnsi="仿宋" w:eastAsia="仿宋" w:cs="仿宋"/>
          <w:b/>
          <w:sz w:val="28"/>
          <w:szCs w:val="28"/>
        </w:rPr>
      </w:pPr>
      <w:r>
        <w:rPr>
          <w:rFonts w:hint="eastAsia" w:ascii="黑体" w:hAnsi="黑体" w:eastAsia="黑体" w:cs="黑体"/>
          <w:sz w:val="28"/>
          <w:szCs w:val="28"/>
        </w:rPr>
        <w:t>8、</w:t>
      </w:r>
      <w:r>
        <w:rPr>
          <w:rFonts w:hint="eastAsia" w:ascii="仿宋" w:hAnsi="仿宋" w:eastAsia="仿宋" w:cs="仿宋"/>
          <w:b/>
          <w:sz w:val="28"/>
          <w:szCs w:val="28"/>
        </w:rPr>
        <w:t>删除了“附录A”的内容，更改了“附录B”的内容</w:t>
      </w:r>
    </w:p>
    <w:p>
      <w:pPr>
        <w:pStyle w:val="16"/>
        <w:ind w:firstLine="560"/>
        <w:rPr>
          <w:rFonts w:ascii="黑体" w:hAnsi="黑体" w:eastAsia="黑体" w:cs="黑体"/>
          <w:sz w:val="28"/>
          <w:szCs w:val="28"/>
        </w:rPr>
      </w:pPr>
      <w:r>
        <w:rPr>
          <w:rFonts w:hint="eastAsia" w:ascii="仿宋" w:hAnsi="仿宋" w:eastAsia="仿宋"/>
          <w:bCs/>
          <w:kern w:val="2"/>
          <w:sz w:val="28"/>
          <w:szCs w:val="28"/>
        </w:rPr>
        <w:t>修订前的国家标准，将仓单分为“普通仓单”、“可流转仓单”两类，因此，在附录部分，分别依据两类仓单列出了相关格式。修订后的国家标准，仓单仅指可流转的仓单。因此，删除了原标准附录部分的普通仓单部分，修改了可流转仓单部分。</w:t>
      </w:r>
    </w:p>
    <w:p>
      <w:pPr>
        <w:ind w:firstLine="560" w:firstLineChars="200"/>
        <w:rPr>
          <w:rFonts w:ascii="黑体" w:hAnsi="黑体" w:eastAsia="黑体" w:cs="黑体"/>
          <w:sz w:val="28"/>
          <w:szCs w:val="28"/>
        </w:rPr>
      </w:pPr>
      <w:r>
        <w:rPr>
          <w:rFonts w:hint="eastAsia" w:ascii="黑体" w:hAnsi="黑体" w:eastAsia="黑体" w:cs="黑体"/>
          <w:sz w:val="28"/>
          <w:szCs w:val="28"/>
        </w:rPr>
        <w:t>三、标准验证情况</w:t>
      </w:r>
    </w:p>
    <w:p>
      <w:pPr>
        <w:pStyle w:val="15"/>
        <w:widowControl/>
        <w:spacing w:line="360" w:lineRule="auto"/>
        <w:ind w:firstLine="560"/>
        <w:rPr>
          <w:rFonts w:ascii="仿宋" w:hAnsi="仿宋" w:eastAsia="仿宋" w:cs="楷体"/>
          <w:sz w:val="28"/>
          <w:szCs w:val="28"/>
        </w:rPr>
      </w:pPr>
      <w:r>
        <w:rPr>
          <w:rFonts w:hint="eastAsia" w:ascii="仿宋" w:hAnsi="仿宋" w:eastAsia="仿宋"/>
          <w:sz w:val="28"/>
          <w:szCs w:val="28"/>
        </w:rPr>
        <w:t>起草组在起草标准主要技术内容时，连续召开了两场法律专家研讨会和一场仓单交易的座谈会。三场座谈会分会讨论了</w:t>
      </w:r>
      <w:r>
        <w:rPr>
          <w:rFonts w:hint="eastAsia" w:ascii="仿宋" w:hAnsi="仿宋" w:eastAsia="仿宋" w:cs="仿宋"/>
          <w:bCs/>
          <w:kern w:val="0"/>
          <w:sz w:val="28"/>
          <w:szCs w:val="28"/>
        </w:rPr>
        <w:t>明确了</w:t>
      </w:r>
      <w:r>
        <w:rPr>
          <w:rFonts w:hint="eastAsia" w:ascii="仿宋" w:hAnsi="仿宋" w:eastAsia="仿宋" w:cs="楷体"/>
          <w:sz w:val="28"/>
          <w:szCs w:val="28"/>
        </w:rPr>
        <w:t>《仓单要素与格式规范》标准要在现场法律和解决实践问题的前提下，要解决仓单的识别问题，同时对标准架构和主要内容征求了专家意见，各方专家认识，《仓单要素与格式规范》架构清晰，有助于规范企业出具规范仓单的行为，有助于金融机构有效识别规范的仓单。</w:t>
      </w:r>
    </w:p>
    <w:p>
      <w:pPr>
        <w:ind w:firstLine="560" w:firstLineChars="200"/>
        <w:rPr>
          <w:rFonts w:ascii="黑体" w:hAnsi="黑体" w:eastAsia="黑体" w:cs="黑体"/>
          <w:sz w:val="28"/>
          <w:szCs w:val="28"/>
        </w:rPr>
      </w:pPr>
      <w:r>
        <w:rPr>
          <w:rFonts w:hint="eastAsia" w:ascii="黑体" w:hAnsi="黑体" w:eastAsia="黑体" w:cs="黑体"/>
          <w:sz w:val="28"/>
          <w:szCs w:val="28"/>
        </w:rPr>
        <w:t>四、与国际、国外同类标准技术内容的对比情况</w:t>
      </w:r>
    </w:p>
    <w:p>
      <w:pPr>
        <w:ind w:firstLine="560" w:firstLineChars="200"/>
        <w:rPr>
          <w:rFonts w:ascii="仿宋" w:hAnsi="仿宋" w:eastAsia="仿宋" w:cs="楷体"/>
          <w:sz w:val="28"/>
          <w:szCs w:val="28"/>
        </w:rPr>
      </w:pPr>
      <w:r>
        <w:rPr>
          <w:rFonts w:hint="eastAsia" w:ascii="仿宋" w:hAnsi="仿宋" w:eastAsia="仿宋" w:cs="楷体"/>
          <w:sz w:val="28"/>
          <w:szCs w:val="28"/>
        </w:rPr>
        <w:t>无。</w:t>
      </w:r>
    </w:p>
    <w:p>
      <w:pPr>
        <w:ind w:firstLine="560" w:firstLineChars="200"/>
        <w:rPr>
          <w:rFonts w:ascii="黑体" w:hAnsi="黑体" w:eastAsia="黑体" w:cs="黑体"/>
          <w:sz w:val="28"/>
          <w:szCs w:val="28"/>
        </w:rPr>
      </w:pPr>
      <w:r>
        <w:rPr>
          <w:rFonts w:hint="eastAsia" w:ascii="黑体" w:hAnsi="黑体" w:eastAsia="黑体" w:cs="黑体"/>
          <w:sz w:val="28"/>
          <w:szCs w:val="28"/>
        </w:rPr>
        <w:t>五、引用或采用国际国外标准情况</w:t>
      </w:r>
    </w:p>
    <w:p>
      <w:pPr>
        <w:ind w:firstLine="560" w:firstLineChars="200"/>
        <w:rPr>
          <w:rFonts w:ascii="仿宋" w:hAnsi="仿宋" w:eastAsia="仿宋" w:cs="楷体"/>
          <w:sz w:val="28"/>
          <w:szCs w:val="28"/>
        </w:rPr>
      </w:pPr>
      <w:r>
        <w:rPr>
          <w:rFonts w:hint="eastAsia" w:ascii="仿宋" w:hAnsi="仿宋" w:eastAsia="仿宋" w:cs="楷体"/>
          <w:sz w:val="28"/>
          <w:szCs w:val="28"/>
        </w:rPr>
        <w:t>无。</w:t>
      </w:r>
    </w:p>
    <w:p>
      <w:pPr>
        <w:ind w:firstLine="560" w:firstLineChars="200"/>
        <w:rPr>
          <w:rFonts w:ascii="黑体" w:hAnsi="黑体" w:eastAsia="黑体" w:cs="黑体"/>
          <w:sz w:val="28"/>
          <w:szCs w:val="28"/>
        </w:rPr>
      </w:pPr>
      <w:r>
        <w:rPr>
          <w:rFonts w:hint="eastAsia" w:ascii="黑体" w:hAnsi="黑体" w:eastAsia="黑体" w:cs="黑体"/>
          <w:sz w:val="28"/>
          <w:szCs w:val="28"/>
        </w:rPr>
        <w:t>六、与有关法律、行政法规及相关标准的关系</w:t>
      </w:r>
    </w:p>
    <w:p>
      <w:pPr>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本标准所规定的条款符合国家现行的法律法规。</w:t>
      </w:r>
    </w:p>
    <w:p>
      <w:pPr>
        <w:ind w:firstLine="560" w:firstLineChars="200"/>
        <w:rPr>
          <w:rFonts w:ascii="黑体" w:hAnsi="黑体" w:eastAsia="黑体" w:cs="黑体"/>
          <w:sz w:val="28"/>
          <w:szCs w:val="28"/>
        </w:rPr>
      </w:pPr>
      <w:r>
        <w:rPr>
          <w:rFonts w:hint="eastAsia" w:ascii="黑体" w:hAnsi="黑体" w:eastAsia="黑体" w:cs="黑体"/>
          <w:sz w:val="28"/>
          <w:szCs w:val="28"/>
        </w:rPr>
        <w:t>七、重大分歧意见的处理经过和依据</w:t>
      </w:r>
    </w:p>
    <w:p>
      <w:pPr>
        <w:ind w:firstLine="560" w:firstLineChars="200"/>
        <w:rPr>
          <w:rFonts w:ascii="仿宋" w:hAnsi="仿宋" w:eastAsia="仿宋" w:cs="楷体"/>
          <w:sz w:val="28"/>
          <w:szCs w:val="28"/>
        </w:rPr>
      </w:pPr>
      <w:r>
        <w:rPr>
          <w:rFonts w:hint="eastAsia" w:ascii="仿宋" w:hAnsi="仿宋" w:eastAsia="仿宋" w:cs="楷体"/>
          <w:sz w:val="28"/>
          <w:szCs w:val="28"/>
        </w:rPr>
        <w:t>无。</w:t>
      </w:r>
    </w:p>
    <w:p>
      <w:pPr>
        <w:ind w:firstLine="560" w:firstLineChars="200"/>
        <w:rPr>
          <w:rFonts w:ascii="黑体" w:hAnsi="黑体" w:eastAsia="黑体" w:cs="黑体"/>
          <w:sz w:val="28"/>
          <w:szCs w:val="28"/>
        </w:rPr>
      </w:pPr>
      <w:r>
        <w:rPr>
          <w:rFonts w:hint="eastAsia" w:ascii="黑体" w:hAnsi="黑体" w:eastAsia="黑体" w:cs="黑体"/>
          <w:sz w:val="28"/>
          <w:szCs w:val="28"/>
        </w:rPr>
        <w:t>八、涉及专利的有关说明</w:t>
      </w:r>
    </w:p>
    <w:p>
      <w:pPr>
        <w:ind w:firstLine="560" w:firstLineChars="200"/>
        <w:rPr>
          <w:rFonts w:cs="黑体" w:asciiTheme="minorEastAsia" w:hAnsiTheme="minorEastAsia"/>
          <w:sz w:val="28"/>
          <w:szCs w:val="28"/>
        </w:rPr>
      </w:pPr>
      <w:r>
        <w:rPr>
          <w:rFonts w:hint="eastAsia" w:cs="黑体" w:asciiTheme="minorEastAsia" w:hAnsiTheme="minorEastAsia"/>
          <w:sz w:val="28"/>
          <w:szCs w:val="28"/>
        </w:rPr>
        <w:t>无。</w:t>
      </w:r>
    </w:p>
    <w:p>
      <w:pPr>
        <w:ind w:firstLine="560" w:firstLineChars="200"/>
        <w:rPr>
          <w:rFonts w:ascii="黑体" w:hAnsi="黑体" w:eastAsia="黑体" w:cs="黑体"/>
          <w:sz w:val="28"/>
          <w:szCs w:val="28"/>
        </w:rPr>
      </w:pPr>
      <w:r>
        <w:rPr>
          <w:rFonts w:hint="eastAsia" w:ascii="黑体" w:hAnsi="黑体" w:eastAsia="黑体" w:cs="黑体"/>
          <w:sz w:val="28"/>
          <w:szCs w:val="28"/>
        </w:rPr>
        <w:t>九、实施建议</w:t>
      </w:r>
    </w:p>
    <w:p>
      <w:pPr>
        <w:pStyle w:val="15"/>
        <w:widowControl/>
        <w:ind w:firstLine="560"/>
        <w:rPr>
          <w:rFonts w:ascii="仿宋" w:hAnsi="仿宋" w:eastAsia="仿宋" w:cs="仿宋"/>
          <w:sz w:val="28"/>
          <w:szCs w:val="28"/>
        </w:rPr>
      </w:pPr>
      <w:r>
        <w:rPr>
          <w:rFonts w:hint="eastAsia" w:ascii="仿宋" w:hAnsi="仿宋" w:eastAsia="仿宋" w:cs="仿宋"/>
          <w:bCs/>
          <w:kern w:val="0"/>
          <w:sz w:val="28"/>
          <w:szCs w:val="28"/>
        </w:rPr>
        <w:t>标准发布后，将由主要起草单位</w:t>
      </w:r>
      <w:bookmarkStart w:id="3" w:name="_GoBack"/>
      <w:bookmarkEnd w:id="3"/>
      <w:r>
        <w:rPr>
          <w:rFonts w:hint="eastAsia" w:ascii="仿宋" w:hAnsi="仿宋" w:eastAsia="仿宋" w:cs="仿宋"/>
          <w:bCs/>
          <w:kern w:val="0"/>
          <w:sz w:val="28"/>
          <w:szCs w:val="28"/>
        </w:rPr>
        <w:t>在行业内组织标准的宣贯、培训等活动，做好标准条文解读，适时编制解读教材，让社会各界、业内企业更好地了解标准、使用标准。与此同时，注意收集使用标准的各类机构对标准的反馈意见，适时对标准内容进行更新优化。</w:t>
      </w:r>
    </w:p>
    <w:p>
      <w:pPr>
        <w:ind w:firstLine="560" w:firstLineChars="200"/>
        <w:rPr>
          <w:rFonts w:ascii="黑体" w:hAnsi="黑体" w:eastAsia="黑体" w:cs="黑体"/>
          <w:sz w:val="28"/>
          <w:szCs w:val="28"/>
        </w:rPr>
      </w:pPr>
      <w:r>
        <w:rPr>
          <w:rFonts w:hint="eastAsia" w:ascii="黑体" w:hAnsi="黑体" w:eastAsia="黑体" w:cs="黑体"/>
          <w:sz w:val="28"/>
          <w:szCs w:val="28"/>
        </w:rPr>
        <w:t>十、其他应当说明的事项</w:t>
      </w:r>
    </w:p>
    <w:p>
      <w:pPr>
        <w:ind w:firstLine="560" w:firstLineChars="200"/>
        <w:rPr>
          <w:rFonts w:ascii="仿宋" w:hAnsi="仿宋" w:eastAsia="仿宋" w:cs="楷体"/>
          <w:sz w:val="28"/>
          <w:szCs w:val="28"/>
        </w:rPr>
      </w:pPr>
      <w:r>
        <w:rPr>
          <w:rFonts w:hint="eastAsia" w:ascii="仿宋" w:hAnsi="仿宋" w:eastAsia="仿宋" w:cs="楷体"/>
          <w:sz w:val="28"/>
          <w:szCs w:val="28"/>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MzdkMTAwM2Q2ODhiN2FiZmQ4N2RjNWJiNzUwMGMifQ=="/>
  </w:docVars>
  <w:rsids>
    <w:rsidRoot w:val="3B6644BA"/>
    <w:rsid w:val="00020B9E"/>
    <w:rsid w:val="00022DDB"/>
    <w:rsid w:val="000423DA"/>
    <w:rsid w:val="00052B34"/>
    <w:rsid w:val="00076777"/>
    <w:rsid w:val="0007768C"/>
    <w:rsid w:val="000836CD"/>
    <w:rsid w:val="00091C5E"/>
    <w:rsid w:val="000E1A6F"/>
    <w:rsid w:val="000F6690"/>
    <w:rsid w:val="0010206E"/>
    <w:rsid w:val="001627F2"/>
    <w:rsid w:val="001668D6"/>
    <w:rsid w:val="00166AFE"/>
    <w:rsid w:val="00176B96"/>
    <w:rsid w:val="00190587"/>
    <w:rsid w:val="002052C0"/>
    <w:rsid w:val="0021738C"/>
    <w:rsid w:val="002E4E4F"/>
    <w:rsid w:val="002E77E6"/>
    <w:rsid w:val="002F750E"/>
    <w:rsid w:val="00307DE1"/>
    <w:rsid w:val="003128CF"/>
    <w:rsid w:val="00335768"/>
    <w:rsid w:val="0034111E"/>
    <w:rsid w:val="00354D72"/>
    <w:rsid w:val="00374E7D"/>
    <w:rsid w:val="00382FBA"/>
    <w:rsid w:val="003902E8"/>
    <w:rsid w:val="003B1EF0"/>
    <w:rsid w:val="003C0064"/>
    <w:rsid w:val="003E2907"/>
    <w:rsid w:val="004372E6"/>
    <w:rsid w:val="00437990"/>
    <w:rsid w:val="0045239A"/>
    <w:rsid w:val="00461D0D"/>
    <w:rsid w:val="00467B81"/>
    <w:rsid w:val="004727AA"/>
    <w:rsid w:val="00491380"/>
    <w:rsid w:val="004B57BB"/>
    <w:rsid w:val="004E07E8"/>
    <w:rsid w:val="00501554"/>
    <w:rsid w:val="0052579D"/>
    <w:rsid w:val="005322E5"/>
    <w:rsid w:val="00546D29"/>
    <w:rsid w:val="005606A3"/>
    <w:rsid w:val="0057380B"/>
    <w:rsid w:val="005853F3"/>
    <w:rsid w:val="005A5B79"/>
    <w:rsid w:val="005A7207"/>
    <w:rsid w:val="005B44FA"/>
    <w:rsid w:val="005D2C31"/>
    <w:rsid w:val="006335EE"/>
    <w:rsid w:val="00650E83"/>
    <w:rsid w:val="006774BB"/>
    <w:rsid w:val="006B65A9"/>
    <w:rsid w:val="006C2FE8"/>
    <w:rsid w:val="006E21B1"/>
    <w:rsid w:val="006F256C"/>
    <w:rsid w:val="006F7966"/>
    <w:rsid w:val="00744758"/>
    <w:rsid w:val="007A09EC"/>
    <w:rsid w:val="007A0B6C"/>
    <w:rsid w:val="007A5684"/>
    <w:rsid w:val="007B3A59"/>
    <w:rsid w:val="007E3851"/>
    <w:rsid w:val="007F7FC7"/>
    <w:rsid w:val="00856E37"/>
    <w:rsid w:val="00863674"/>
    <w:rsid w:val="00880248"/>
    <w:rsid w:val="008860E4"/>
    <w:rsid w:val="00892F68"/>
    <w:rsid w:val="008B4E64"/>
    <w:rsid w:val="008D7652"/>
    <w:rsid w:val="008E152D"/>
    <w:rsid w:val="008E2753"/>
    <w:rsid w:val="008E7161"/>
    <w:rsid w:val="008F0E52"/>
    <w:rsid w:val="008F1F08"/>
    <w:rsid w:val="00907BF7"/>
    <w:rsid w:val="00915197"/>
    <w:rsid w:val="0093240F"/>
    <w:rsid w:val="009358D9"/>
    <w:rsid w:val="00945C7B"/>
    <w:rsid w:val="00952745"/>
    <w:rsid w:val="00970DF1"/>
    <w:rsid w:val="0098630A"/>
    <w:rsid w:val="00994655"/>
    <w:rsid w:val="009B55BA"/>
    <w:rsid w:val="009C24ED"/>
    <w:rsid w:val="009C5640"/>
    <w:rsid w:val="00A0618B"/>
    <w:rsid w:val="00A11387"/>
    <w:rsid w:val="00A21699"/>
    <w:rsid w:val="00A272EA"/>
    <w:rsid w:val="00A275AD"/>
    <w:rsid w:val="00A34F8E"/>
    <w:rsid w:val="00AA1ED5"/>
    <w:rsid w:val="00AA4809"/>
    <w:rsid w:val="00AE1C1F"/>
    <w:rsid w:val="00B043AB"/>
    <w:rsid w:val="00B13E86"/>
    <w:rsid w:val="00B25766"/>
    <w:rsid w:val="00B522D9"/>
    <w:rsid w:val="00B65755"/>
    <w:rsid w:val="00B70FB9"/>
    <w:rsid w:val="00B75077"/>
    <w:rsid w:val="00B92ADB"/>
    <w:rsid w:val="00BC3A6D"/>
    <w:rsid w:val="00BF0A82"/>
    <w:rsid w:val="00C40539"/>
    <w:rsid w:val="00C540F0"/>
    <w:rsid w:val="00C704A7"/>
    <w:rsid w:val="00CA30E4"/>
    <w:rsid w:val="00CA3CEA"/>
    <w:rsid w:val="00CA6670"/>
    <w:rsid w:val="00CB2F1C"/>
    <w:rsid w:val="00CD105F"/>
    <w:rsid w:val="00CD3D55"/>
    <w:rsid w:val="00D02E77"/>
    <w:rsid w:val="00D076BA"/>
    <w:rsid w:val="00D112E9"/>
    <w:rsid w:val="00D128F8"/>
    <w:rsid w:val="00D16DDC"/>
    <w:rsid w:val="00D17A57"/>
    <w:rsid w:val="00D2092F"/>
    <w:rsid w:val="00D44C27"/>
    <w:rsid w:val="00D47D74"/>
    <w:rsid w:val="00D658F8"/>
    <w:rsid w:val="00D72985"/>
    <w:rsid w:val="00D9474E"/>
    <w:rsid w:val="00DC26AE"/>
    <w:rsid w:val="00DD002D"/>
    <w:rsid w:val="00DE0C92"/>
    <w:rsid w:val="00DF5795"/>
    <w:rsid w:val="00E565BE"/>
    <w:rsid w:val="00E605F6"/>
    <w:rsid w:val="00E65AAC"/>
    <w:rsid w:val="00E82152"/>
    <w:rsid w:val="00E97270"/>
    <w:rsid w:val="00EE702C"/>
    <w:rsid w:val="00EF25DA"/>
    <w:rsid w:val="00EF48C2"/>
    <w:rsid w:val="00F14542"/>
    <w:rsid w:val="00F26BFF"/>
    <w:rsid w:val="00F56DB2"/>
    <w:rsid w:val="00F954E0"/>
    <w:rsid w:val="00FA526D"/>
    <w:rsid w:val="00FB400A"/>
    <w:rsid w:val="00FC09AE"/>
    <w:rsid w:val="00FC0FEB"/>
    <w:rsid w:val="00FC2678"/>
    <w:rsid w:val="00FD4C77"/>
    <w:rsid w:val="0A6939C6"/>
    <w:rsid w:val="1E554C50"/>
    <w:rsid w:val="203B6554"/>
    <w:rsid w:val="31A70ACB"/>
    <w:rsid w:val="32AA49F4"/>
    <w:rsid w:val="32DB3A8E"/>
    <w:rsid w:val="3B6644BA"/>
    <w:rsid w:val="44AF4552"/>
    <w:rsid w:val="482E0070"/>
    <w:rsid w:val="4C642F38"/>
    <w:rsid w:val="4FBD3D43"/>
    <w:rsid w:val="58EA22FF"/>
    <w:rsid w:val="5AA66C6F"/>
    <w:rsid w:val="679A69EC"/>
    <w:rsid w:val="706E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hAnsi="Times New Roman" w:eastAsia="宋体" w:cs="Times New Roman"/>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6">
    <w:name w:val="annotation subject"/>
    <w:basedOn w:val="2"/>
    <w:next w:val="2"/>
    <w:link w:val="20"/>
    <w:uiPriority w:val="0"/>
    <w:rPr>
      <w:rFonts w:asciiTheme="minorHAnsi" w:hAnsiTheme="minorHAnsi" w:eastAsiaTheme="minorEastAsia" w:cstheme="minorBidi"/>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99"/>
    <w:rPr>
      <w:sz w:val="21"/>
      <w:szCs w:val="21"/>
    </w:rPr>
  </w:style>
  <w:style w:type="character" w:customStyle="1" w:styleId="11">
    <w:name w:val="页眉 字符"/>
    <w:basedOn w:val="9"/>
    <w:link w:val="4"/>
    <w:qFormat/>
    <w:uiPriority w:val="0"/>
    <w:rPr>
      <w:kern w:val="2"/>
      <w:sz w:val="18"/>
      <w:szCs w:val="18"/>
    </w:rPr>
  </w:style>
  <w:style w:type="character" w:customStyle="1" w:styleId="12">
    <w:name w:val="页脚 字符"/>
    <w:basedOn w:val="9"/>
    <w:link w:val="3"/>
    <w:qFormat/>
    <w:uiPriority w:val="0"/>
    <w:rPr>
      <w:kern w:val="2"/>
      <w:sz w:val="18"/>
      <w:szCs w:val="18"/>
    </w:rPr>
  </w:style>
  <w:style w:type="character" w:customStyle="1" w:styleId="13">
    <w:name w:val="批注文字 字符"/>
    <w:basedOn w:val="9"/>
    <w:link w:val="2"/>
    <w:qFormat/>
    <w:uiPriority w:val="99"/>
    <w:rPr>
      <w:rFonts w:ascii="Times New Roman" w:hAnsi="Times New Roman" w:eastAsia="宋体" w:cs="Times New Roman"/>
      <w:kern w:val="2"/>
      <w:sz w:val="21"/>
      <w:szCs w:val="24"/>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5">
    <w:name w:val="List Paragraph"/>
    <w:basedOn w:val="1"/>
    <w:qFormat/>
    <w:uiPriority w:val="34"/>
    <w:pPr>
      <w:ind w:firstLine="420" w:firstLineChars="200"/>
    </w:pPr>
    <w:rPr>
      <w:szCs w:val="22"/>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sz w:val="21"/>
    </w:rPr>
  </w:style>
  <w:style w:type="paragraph" w:customStyle="1" w:styleId="18">
    <w:name w:val="KWMCN-标准"/>
    <w:qFormat/>
    <w:uiPriority w:val="0"/>
    <w:pPr>
      <w:adjustRightInd w:val="0"/>
      <w:snapToGrid w:val="0"/>
      <w:spacing w:after="360" w:line="320" w:lineRule="atLeast"/>
      <w:jc w:val="both"/>
    </w:pPr>
    <w:rPr>
      <w:rFonts w:ascii="Arial" w:hAnsi="Arial" w:eastAsia="楷体_GB2312" w:cs="Times New Roman"/>
      <w:kern w:val="2"/>
      <w:sz w:val="24"/>
      <w:szCs w:val="21"/>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主题 字符"/>
    <w:basedOn w:val="13"/>
    <w:link w:val="6"/>
    <w:qFormat/>
    <w:uiPriority w:val="0"/>
    <w:rPr>
      <w:rFonts w:ascii="Times New Roman" w:hAnsi="Times New Roman" w:eastAsia="宋体" w:cs="Times New Roman"/>
      <w:b/>
      <w:bCs/>
      <w:kern w:val="2"/>
      <w:sz w:val="21"/>
      <w:szCs w:val="24"/>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3500E-47C9-4B72-9943-23A9B54AF26C}">
  <ds:schemaRefs/>
</ds:datastoreItem>
</file>

<file path=docProps/app.xml><?xml version="1.0" encoding="utf-8"?>
<Properties xmlns="http://schemas.openxmlformats.org/officeDocument/2006/extended-properties" xmlns:vt="http://schemas.openxmlformats.org/officeDocument/2006/docPropsVTypes">
  <Template>Normal</Template>
  <Pages>22</Pages>
  <Words>12561</Words>
  <Characters>12919</Characters>
  <Lines>96</Lines>
  <Paragraphs>27</Paragraphs>
  <TotalTime>5</TotalTime>
  <ScaleCrop>false</ScaleCrop>
  <LinksUpToDate>false</LinksUpToDate>
  <CharactersWithSpaces>12950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2023-08-28T06:28:00Z</dcterms:created>
  <dc:creator>金蕾</dc:creator>
  <cp:lastModifiedBy>  时光微好</cp:lastModifiedBy>
  <dcterms:modified xsi:type="dcterms:W3CDTF">2023-09-01T07:48:00Z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AC28A483F3714632B4EC312191B49D0A_13</vt:lpwstr>
  </property>
</Properties>
</file>