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《自动分拣设备管理要求》行业标准（征求意见稿）</w:t>
      </w:r>
    </w:p>
    <w:p>
      <w:pPr>
        <w:jc w:val="center"/>
        <w:rPr>
          <w:b/>
          <w:bCs/>
          <w:sz w:val="32"/>
          <w:szCs w:val="32"/>
        </w:rPr>
      </w:pPr>
      <w:r>
        <w:rPr>
          <w:rFonts w:hint="eastAsia"/>
          <w:b/>
          <w:bCs/>
          <w:sz w:val="32"/>
          <w:szCs w:val="32"/>
        </w:rPr>
        <w:t>编制说明</w:t>
      </w:r>
    </w:p>
    <w:p/>
    <w:p>
      <w:pPr>
        <w:ind w:firstLine="640" w:firstLineChars="200"/>
        <w:rPr>
          <w:rFonts w:ascii="黑体" w:hAnsi="黑体" w:eastAsia="黑体" w:cs="黑体"/>
          <w:sz w:val="32"/>
          <w:szCs w:val="32"/>
        </w:rPr>
      </w:pPr>
      <w:r>
        <w:rPr>
          <w:rFonts w:hint="eastAsia" w:ascii="黑体" w:hAnsi="黑体" w:eastAsia="黑体" w:cs="黑体"/>
          <w:sz w:val="32"/>
          <w:szCs w:val="32"/>
        </w:rPr>
        <w:t>一、工作简况</w:t>
      </w:r>
    </w:p>
    <w:p>
      <w:pPr>
        <w:ind w:firstLine="640" w:firstLineChars="200"/>
        <w:rPr>
          <w:sz w:val="32"/>
          <w:szCs w:val="32"/>
        </w:rPr>
      </w:pPr>
      <w:r>
        <w:rPr>
          <w:rFonts w:hint="eastAsia"/>
          <w:sz w:val="32"/>
          <w:szCs w:val="32"/>
        </w:rPr>
        <w:t>（一）任务来源</w:t>
      </w:r>
    </w:p>
    <w:p>
      <w:pPr>
        <w:ind w:firstLine="600" w:firstLineChars="200"/>
        <w:rPr>
          <w:sz w:val="30"/>
          <w:szCs w:val="30"/>
        </w:rPr>
      </w:pPr>
      <w:r>
        <w:rPr>
          <w:rFonts w:hint="eastAsia"/>
          <w:sz w:val="30"/>
          <w:szCs w:val="30"/>
        </w:rPr>
        <w:t>《自动分拣设备管理要求》行业标准修订计划项目由国家发展和改革委员会于2022年批准立项（发改办经贸［2022］1002号），该项目由中国物流与采购联合会提出，由全国物流标准化技术委员会归口，由湖北物资流通技术研究所牵头起草。</w:t>
      </w:r>
    </w:p>
    <w:p>
      <w:pPr>
        <w:numPr>
          <w:ilvl w:val="0"/>
          <w:numId w:val="2"/>
        </w:numPr>
        <w:ind w:firstLine="640" w:firstLineChars="200"/>
        <w:rPr>
          <w:sz w:val="32"/>
          <w:szCs w:val="32"/>
        </w:rPr>
      </w:pPr>
      <w:r>
        <w:rPr>
          <w:rFonts w:hint="eastAsia"/>
          <w:sz w:val="32"/>
          <w:szCs w:val="32"/>
        </w:rPr>
        <w:t>修</w:t>
      </w:r>
      <w:r>
        <w:rPr>
          <w:rFonts w:hint="eastAsia"/>
          <w:color w:val="auto"/>
          <w:sz w:val="32"/>
          <w:szCs w:val="32"/>
        </w:rPr>
        <w:t>订背景</w:t>
      </w:r>
    </w:p>
    <w:p>
      <w:pPr>
        <w:ind w:firstLine="600" w:firstLineChars="200"/>
        <w:rPr>
          <w:sz w:val="30"/>
          <w:szCs w:val="30"/>
        </w:rPr>
      </w:pPr>
      <w:r>
        <w:rPr>
          <w:rFonts w:hint="eastAsia"/>
          <w:sz w:val="30"/>
          <w:szCs w:val="30"/>
        </w:rPr>
        <w:t>《自动分拣设备管理要求》（WB/T 1041-2012）发布实施后，为自动分拣设备的管理提供了规范，对仓库自动化分拣作业的操作安全做出了保障和指导，对该行业规范发展产生了积极影响。</w:t>
      </w:r>
    </w:p>
    <w:p>
      <w:pPr>
        <w:ind w:firstLine="600" w:firstLineChars="200"/>
        <w:rPr>
          <w:sz w:val="30"/>
          <w:szCs w:val="30"/>
        </w:rPr>
      </w:pPr>
      <w:r>
        <w:rPr>
          <w:rFonts w:hint="eastAsia"/>
          <w:sz w:val="30"/>
          <w:szCs w:val="30"/>
        </w:rPr>
        <w:t>近年来，在新冠肺炎疫情的影响下，人们的消费习惯发生巨大变革，线上消费持续提升带动了电商、快递等行业快速扩张。而电商和快递的井喷式发展，也促使物流业发生变革，物流服务呈现小批量、多品种、高频率的新特征，订单分拣作业成为影响物流效率的重要环节，对物流分拣系统的运行效率、准确率、稳定性、处理能力等提出了更高的要求。传统人工分拣无法完成对短时间内激增货物的分拣，常出现“爆仓”现象。同时，由于劳动力成本的不断提升，输送分拣作业自动化、无人化成为趋势，自动化分拣设备成为降低物流成本、提高效率和服务质量的首选。</w:t>
      </w:r>
    </w:p>
    <w:p>
      <w:pPr>
        <w:ind w:firstLine="600" w:firstLineChars="200"/>
        <w:rPr>
          <w:sz w:val="30"/>
          <w:szCs w:val="30"/>
        </w:rPr>
      </w:pPr>
      <w:r>
        <w:rPr>
          <w:rFonts w:hint="eastAsia"/>
          <w:sz w:val="30"/>
          <w:szCs w:val="30"/>
        </w:rPr>
        <w:t>得益于电商、快递行业的蓬勃发展，我国自动分拣设备市场一直保持着极高速增长状态，市场规模从2015年的68.7亿元增至2020年的213.5亿元（数据来源：2021中国仓储配送行业发展报告）。</w:t>
      </w:r>
    </w:p>
    <w:p>
      <w:pPr>
        <w:ind w:firstLine="600" w:firstLineChars="200"/>
        <w:rPr>
          <w:sz w:val="30"/>
          <w:szCs w:val="30"/>
        </w:rPr>
      </w:pPr>
      <w:r>
        <w:rPr>
          <w:rFonts w:hint="eastAsia"/>
          <w:sz w:val="30"/>
          <w:szCs w:val="30"/>
        </w:rPr>
        <w:t>自动分拣设备的应用市场潜力巨大，发展前景可期。但目前国内关于自动分拣设备的国家标准、行业标准相对缺失，经检索，与自动分拣设备相关且现行有效的标准仅有《GA/T 1706-2019  法庭科学 生物样本自动分拣设备通用技术要求》、《WB/T 1041-2012  自动分拣设备管理要求》，且GA/T 1706-2019仅适用于法庭科学这一特定领域，不适用于物流行业。</w:t>
      </w:r>
    </w:p>
    <w:p>
      <w:pPr>
        <w:ind w:firstLine="600" w:firstLineChars="200"/>
        <w:rPr>
          <w:sz w:val="30"/>
          <w:szCs w:val="30"/>
        </w:rPr>
      </w:pPr>
      <w:r>
        <w:rPr>
          <w:rFonts w:hint="eastAsia"/>
          <w:sz w:val="30"/>
          <w:szCs w:val="30"/>
        </w:rPr>
        <w:t>物流行业内除本标准外，再无自动分拣设备的其他标准可依，为适应自动分拣设备市场快速发展的需求，需要有相应标准对该行业进行管理和规范。但标准发布至今已近十年，十年中自动分拣技术和应用均得到了快速发展，自动分拣设备的设计、性能、应用工况等都有很大变化，对自动分拣设备的管理也应随之修改完善。因此，需要更深入的了解当下自动分拣设备市场现状及标准化需求，对本标准的技术内容进行修改和完善，使其能适应自动分拣设备市场快速发展的需求，更好地对该行业进行管理和规范。</w:t>
      </w:r>
    </w:p>
    <w:p>
      <w:pPr>
        <w:ind w:firstLine="600" w:firstLineChars="200"/>
        <w:rPr>
          <w:sz w:val="30"/>
          <w:szCs w:val="30"/>
        </w:rPr>
      </w:pPr>
      <w:r>
        <w:rPr>
          <w:rFonts w:hint="eastAsia"/>
          <w:sz w:val="30"/>
          <w:szCs w:val="30"/>
        </w:rPr>
        <w:t>本标准的修订将以原有标准为基础，并结合当下自动分拣行业的现状及标准化需求，对原版标准条款进行修改和完善，旨在形成适应当下自动分拣设备应用现状的管理标准，引导自动分拣设备的需求方合理的购置设备，指导自动分拣设备的使用者如何使用设备、进行日常维护和修理等，对自动分拣设备的应用市场有积极的作用和意义。</w:t>
      </w:r>
    </w:p>
    <w:p>
      <w:pPr>
        <w:ind w:firstLine="600" w:firstLineChars="200"/>
        <w:rPr>
          <w:sz w:val="30"/>
          <w:szCs w:val="30"/>
        </w:rPr>
      </w:pPr>
      <w:r>
        <w:rPr>
          <w:rFonts w:hint="eastAsia"/>
          <w:sz w:val="30"/>
          <w:szCs w:val="30"/>
        </w:rPr>
        <w:t>1、可引导设备需求方合理购置自动分拣设备进行系统集成，进行合理的设备改造和更新，降低了采购成本，提高了设备的利用率和分拣效率。</w:t>
      </w:r>
    </w:p>
    <w:p>
      <w:pPr>
        <w:ind w:firstLine="600" w:firstLineChars="200"/>
        <w:rPr>
          <w:sz w:val="30"/>
          <w:szCs w:val="30"/>
        </w:rPr>
      </w:pPr>
      <w:r>
        <w:rPr>
          <w:rFonts w:hint="eastAsia"/>
          <w:sz w:val="30"/>
          <w:szCs w:val="30"/>
        </w:rPr>
        <w:t>2、对自动分拣设备的基础管理、前期管理、使用管理维护和修理管理、改造、更新和报废管理、技术培训管理、档案管理等内容进行规范，能帮助减少设备的故障率、延长设备的使用寿命，降低运行成本。</w:t>
      </w:r>
    </w:p>
    <w:p>
      <w:pPr>
        <w:ind w:firstLine="640" w:firstLineChars="200"/>
        <w:rPr>
          <w:rFonts w:ascii="楷体" w:hAnsi="楷体" w:eastAsia="楷体" w:cs="楷体"/>
          <w:sz w:val="32"/>
          <w:szCs w:val="32"/>
        </w:rPr>
      </w:pPr>
      <w:r>
        <w:rPr>
          <w:rFonts w:hint="eastAsia"/>
          <w:sz w:val="32"/>
          <w:szCs w:val="32"/>
        </w:rPr>
        <w:t>（三）主要起草过程</w:t>
      </w:r>
    </w:p>
    <w:p>
      <w:pPr>
        <w:numPr>
          <w:ilvl w:val="0"/>
          <w:numId w:val="3"/>
        </w:numPr>
        <w:ind w:firstLine="600" w:firstLineChars="200"/>
        <w:rPr>
          <w:sz w:val="30"/>
          <w:szCs w:val="30"/>
        </w:rPr>
      </w:pPr>
      <w:r>
        <w:rPr>
          <w:rFonts w:hint="eastAsia"/>
          <w:sz w:val="30"/>
          <w:szCs w:val="30"/>
        </w:rPr>
        <w:t>预研阶段</w:t>
      </w:r>
    </w:p>
    <w:p>
      <w:pPr>
        <w:ind w:firstLine="600" w:firstLineChars="200"/>
        <w:rPr>
          <w:sz w:val="30"/>
          <w:szCs w:val="30"/>
        </w:rPr>
      </w:pPr>
      <w:r>
        <w:rPr>
          <w:rFonts w:hint="eastAsia"/>
          <w:sz w:val="30"/>
          <w:szCs w:val="30"/>
        </w:rPr>
        <w:t>2021年5月至7月，按全国物标委《关于开展推荐性物流标准复审工作的通知》（物标委【2021】12号）要求，仓储技术与管理分标委组织标准起草单位及相关专家，对《WB/T 1041-2012  自动分拣设备管理要求》行业标准进行复审。通过收集资料、问卷调研、现场调研、专家咨询等方式，对本标准的技术内容、执行情况、实施效益进行了评估。认为自动分拣设备在物流行业应用广泛，市场潜力巨大，需要有相应标准对其进行管理和规范，本标准作为物流行业内唯一的自动分拣设备相关标准，必须保留。但标准发布至今的十年间，自动分拣技术和应用均得到了快速发展，需要更深入的了解当下自动分拣设备市场现状及标准化需求，对本标准的技术内容进行修改和完善，确保本标准的先进性和时效性，建议对本标准进行修订。</w:t>
      </w:r>
    </w:p>
    <w:p>
      <w:pPr>
        <w:numPr>
          <w:ilvl w:val="0"/>
          <w:numId w:val="3"/>
        </w:numPr>
        <w:ind w:firstLine="600" w:firstLineChars="200"/>
        <w:rPr>
          <w:sz w:val="30"/>
          <w:szCs w:val="30"/>
        </w:rPr>
      </w:pPr>
      <w:r>
        <w:rPr>
          <w:rFonts w:hint="eastAsia"/>
          <w:sz w:val="30"/>
          <w:szCs w:val="30"/>
        </w:rPr>
        <w:t>立项阶段</w:t>
      </w:r>
    </w:p>
    <w:p>
      <w:pPr>
        <w:spacing w:line="360" w:lineRule="auto"/>
        <w:ind w:firstLine="600" w:firstLineChars="200"/>
        <w:rPr>
          <w:rFonts w:ascii="宋体" w:hAnsi="宋体"/>
          <w:sz w:val="30"/>
          <w:szCs w:val="30"/>
        </w:rPr>
      </w:pPr>
      <w:r>
        <w:rPr>
          <w:rFonts w:hint="eastAsia"/>
          <w:sz w:val="30"/>
          <w:szCs w:val="30"/>
        </w:rPr>
        <w:t>本标准在2021年由全国物标委组织的关于推荐性物流行业标准复审的专家评估会中，专家基于本标准实施效果评估情况，给出了“修订”的结论，并报发改委，最终给出了“修订”的复审结论。标准主要起草单位湖北物资流通技术研究所于2022年初对本标准进行修订计划项目的申报，于2022年11月由国家发展和改革委员会批准立项并下达立项通知。</w:t>
      </w:r>
    </w:p>
    <w:p>
      <w:pPr>
        <w:numPr>
          <w:ilvl w:val="0"/>
          <w:numId w:val="3"/>
        </w:numPr>
        <w:ind w:firstLine="600" w:firstLineChars="200"/>
        <w:rPr>
          <w:sz w:val="30"/>
          <w:szCs w:val="30"/>
        </w:rPr>
      </w:pPr>
      <w:r>
        <w:rPr>
          <w:rFonts w:hint="eastAsia"/>
          <w:sz w:val="30"/>
          <w:szCs w:val="30"/>
        </w:rPr>
        <w:t>起草阶段</w:t>
      </w:r>
    </w:p>
    <w:p>
      <w:pPr>
        <w:spacing w:line="360" w:lineRule="auto"/>
        <w:ind w:firstLine="600" w:firstLineChars="200"/>
        <w:rPr>
          <w:sz w:val="30"/>
          <w:szCs w:val="30"/>
        </w:rPr>
      </w:pPr>
      <w:r>
        <w:rPr>
          <w:rFonts w:hint="eastAsia"/>
          <w:sz w:val="30"/>
          <w:szCs w:val="30"/>
        </w:rPr>
        <w:t>标准立项通知下达后，标准牵头起草单位湖北物资流通技术研究所积极联系和征集相关企业参与本标准的修订工作中，成立标准工作组，并根据《全国物流标准化技术委员会物流国家（行业）标准管理办法》及标准项目任务书，制定了标准编制各阶段工作计划和任务分工（见表1）。</w:t>
      </w:r>
    </w:p>
    <w:p>
      <w:pPr>
        <w:spacing w:line="360" w:lineRule="auto"/>
        <w:ind w:firstLine="600" w:firstLineChars="200"/>
        <w:rPr>
          <w:sz w:val="30"/>
          <w:szCs w:val="30"/>
        </w:rPr>
      </w:pPr>
      <w:r>
        <w:rPr>
          <w:rFonts w:hint="eastAsia"/>
          <w:sz w:val="30"/>
          <w:szCs w:val="30"/>
        </w:rPr>
        <w:t>为保证对标准内容的修订科学、合理，2023年初，标准工作组收集、整理了相关资料，并拟定调研计划、联系企业、编制调查问卷（见附件1）。</w:t>
      </w:r>
    </w:p>
    <w:p>
      <w:pPr>
        <w:spacing w:line="360" w:lineRule="auto"/>
        <w:ind w:firstLine="600" w:firstLineChars="200"/>
        <w:rPr>
          <w:sz w:val="30"/>
          <w:szCs w:val="30"/>
        </w:rPr>
      </w:pPr>
      <w:r>
        <w:rPr>
          <w:rFonts w:hint="eastAsia"/>
          <w:sz w:val="30"/>
          <w:szCs w:val="30"/>
        </w:rPr>
        <w:t>2023年4月，标准工作组前往襄阳顺丰分拨中心进行调研，现场观看小件物品的自动分拣系统运营情况，并同分拨中心负责人就自动分拣中心的建设、运营和自动分拣设备的管理等问题进行了座谈交流。</w:t>
      </w:r>
    </w:p>
    <w:p>
      <w:pPr>
        <w:spacing w:line="360" w:lineRule="auto"/>
        <w:ind w:firstLine="600" w:firstLineChars="200"/>
        <w:rPr>
          <w:sz w:val="30"/>
          <w:szCs w:val="30"/>
        </w:rPr>
      </w:pPr>
      <w:r>
        <w:rPr>
          <w:rFonts w:hint="eastAsia"/>
          <w:sz w:val="30"/>
          <w:szCs w:val="30"/>
        </w:rPr>
        <w:t>5月16日前往京东亚洲一号（武汉）仓库的新洲枢纽分拣中心、良品铺子智慧物流中心（武汉），5月22日前往湖北省烟草公司襄阳市公司物流中心，针对分拣中心的运营、自动分拣设备的管理和维护等进行调研。</w:t>
      </w:r>
    </w:p>
    <w:p>
      <w:pPr>
        <w:spacing w:line="360" w:lineRule="auto"/>
        <w:ind w:firstLine="600" w:firstLineChars="200"/>
        <w:rPr>
          <w:sz w:val="30"/>
          <w:szCs w:val="30"/>
        </w:rPr>
      </w:pPr>
      <w:r>
        <w:rPr>
          <w:rFonts w:hint="eastAsia"/>
          <w:sz w:val="30"/>
          <w:szCs w:val="30"/>
        </w:rPr>
        <w:t>8月19日前往圆通速递（上虞转运中心）、浙江英特集团股份有限公司（绍兴物流中心），针对物流中心在自动分拣设备的使用、管理，以自动分拣设备在冷库的应用情况进行了调研。</w:t>
      </w:r>
    </w:p>
    <w:p>
      <w:pPr>
        <w:spacing w:line="360" w:lineRule="auto"/>
        <w:ind w:firstLine="600" w:firstLineChars="200"/>
        <w:rPr>
          <w:sz w:val="30"/>
          <w:szCs w:val="30"/>
        </w:rPr>
      </w:pPr>
      <w:r>
        <w:rPr>
          <w:rFonts w:hint="eastAsia" w:ascii="宋体" w:hAnsi="宋体"/>
          <w:sz w:val="30"/>
          <w:szCs w:val="30"/>
        </w:rPr>
        <w:t>7月至8月，牵头起草单位湖北物资流通技术研究所结合前期调研情况、问卷反馈情况（见附件2）以及前期收集的相关资料，对原版标准内容进行了修改，并在标准工作组中征求意见，后对标准做了进一步完善，于8月底形成了标准征求意见稿（初稿）。</w:t>
      </w:r>
    </w:p>
    <w:p>
      <w:pPr>
        <w:numPr>
          <w:ilvl w:val="0"/>
          <w:numId w:val="2"/>
        </w:numPr>
        <w:ind w:firstLine="600" w:firstLineChars="200"/>
        <w:rPr>
          <w:sz w:val="30"/>
          <w:szCs w:val="30"/>
        </w:rPr>
      </w:pPr>
      <w:r>
        <w:rPr>
          <w:rFonts w:hint="eastAsia"/>
          <w:sz w:val="30"/>
          <w:szCs w:val="30"/>
        </w:rPr>
        <w:t>起草单位、主要起草人及其所做的工作</w:t>
      </w:r>
    </w:p>
    <w:p>
      <w:pPr>
        <w:spacing w:line="360" w:lineRule="auto"/>
        <w:ind w:firstLine="600" w:firstLineChars="200"/>
        <w:rPr>
          <w:sz w:val="30"/>
          <w:szCs w:val="30"/>
        </w:rPr>
      </w:pPr>
      <w:r>
        <w:rPr>
          <w:rFonts w:hint="eastAsia"/>
          <w:sz w:val="30"/>
          <w:szCs w:val="30"/>
        </w:rPr>
        <w:t>标准起草单位、主要起草人及任务分工见表1。</w:t>
      </w:r>
    </w:p>
    <w:p>
      <w:pPr>
        <w:spacing w:line="360" w:lineRule="auto"/>
        <w:ind w:firstLine="560" w:firstLineChars="200"/>
        <w:jc w:val="center"/>
        <w:rPr>
          <w:rFonts w:ascii="黑体" w:hAnsi="黑体" w:eastAsia="黑体" w:cs="黑体"/>
          <w:sz w:val="28"/>
          <w:szCs w:val="28"/>
        </w:rPr>
      </w:pPr>
      <w:r>
        <w:rPr>
          <w:rFonts w:hint="eastAsia" w:ascii="黑体" w:hAnsi="黑体" w:eastAsia="黑体" w:cs="黑体"/>
          <w:sz w:val="28"/>
          <w:szCs w:val="28"/>
        </w:rPr>
        <w:t>表1 起草单位、起草人及工作</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955"/>
        <w:gridCol w:w="3255"/>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jc w:val="center"/>
              <w:rPr>
                <w:rFonts w:ascii="宋体" w:hAnsi="宋体"/>
                <w:b/>
                <w:bCs/>
                <w:sz w:val="24"/>
              </w:rPr>
            </w:pPr>
            <w:r>
              <w:rPr>
                <w:rFonts w:hint="eastAsia" w:ascii="宋体" w:hAnsi="宋体"/>
                <w:b/>
                <w:bCs/>
                <w:sz w:val="24"/>
              </w:rPr>
              <w:t>序号</w:t>
            </w:r>
          </w:p>
        </w:tc>
        <w:tc>
          <w:tcPr>
            <w:tcW w:w="2955" w:type="dxa"/>
          </w:tcPr>
          <w:p>
            <w:pPr>
              <w:jc w:val="center"/>
              <w:rPr>
                <w:rFonts w:ascii="宋体" w:hAnsi="宋体"/>
                <w:b/>
                <w:bCs/>
                <w:sz w:val="24"/>
              </w:rPr>
            </w:pPr>
            <w:r>
              <w:rPr>
                <w:rFonts w:hint="eastAsia" w:ascii="宋体" w:hAnsi="宋体"/>
                <w:b/>
                <w:bCs/>
                <w:sz w:val="24"/>
              </w:rPr>
              <w:t>起草单位</w:t>
            </w:r>
          </w:p>
        </w:tc>
        <w:tc>
          <w:tcPr>
            <w:tcW w:w="3255" w:type="dxa"/>
          </w:tcPr>
          <w:p>
            <w:pPr>
              <w:jc w:val="center"/>
              <w:rPr>
                <w:rFonts w:ascii="宋体" w:hAnsi="宋体"/>
                <w:b/>
                <w:bCs/>
                <w:sz w:val="24"/>
              </w:rPr>
            </w:pPr>
            <w:r>
              <w:rPr>
                <w:rFonts w:hint="eastAsia" w:ascii="宋体" w:hAnsi="宋体"/>
                <w:b/>
                <w:bCs/>
                <w:sz w:val="24"/>
              </w:rPr>
              <w:t>任务分工</w:t>
            </w:r>
          </w:p>
        </w:tc>
        <w:tc>
          <w:tcPr>
            <w:tcW w:w="1571" w:type="dxa"/>
          </w:tcPr>
          <w:p>
            <w:pPr>
              <w:jc w:val="center"/>
              <w:rPr>
                <w:rFonts w:ascii="宋体" w:hAnsi="宋体"/>
                <w:b/>
                <w:bCs/>
                <w:sz w:val="24"/>
              </w:rPr>
            </w:pPr>
            <w:r>
              <w:rPr>
                <w:rFonts w:hint="eastAsia" w:ascii="宋体" w:hAnsi="宋体"/>
                <w:b/>
                <w:bCs/>
                <w:sz w:val="24"/>
              </w:rPr>
              <w:t>主要起草人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宋体" w:hAnsi="宋体"/>
                <w:sz w:val="24"/>
              </w:rPr>
            </w:pPr>
            <w:r>
              <w:rPr>
                <w:rFonts w:hint="eastAsia" w:ascii="宋体" w:hAnsi="宋体"/>
                <w:sz w:val="24"/>
              </w:rPr>
              <w:t>1</w:t>
            </w:r>
          </w:p>
        </w:tc>
        <w:tc>
          <w:tcPr>
            <w:tcW w:w="2955" w:type="dxa"/>
            <w:vAlign w:val="center"/>
          </w:tcPr>
          <w:p>
            <w:pPr>
              <w:jc w:val="center"/>
              <w:rPr>
                <w:rFonts w:ascii="宋体" w:hAnsi="宋体"/>
                <w:sz w:val="24"/>
              </w:rPr>
            </w:pPr>
            <w:r>
              <w:rPr>
                <w:rFonts w:hint="eastAsia" w:ascii="宋体" w:hAnsi="宋体"/>
                <w:sz w:val="24"/>
              </w:rPr>
              <w:t>湖北物资流通技术研究所</w:t>
            </w:r>
          </w:p>
        </w:tc>
        <w:tc>
          <w:tcPr>
            <w:tcW w:w="3255" w:type="dxa"/>
          </w:tcPr>
          <w:p>
            <w:pPr>
              <w:rPr>
                <w:rFonts w:ascii="宋体" w:hAnsi="宋体"/>
                <w:sz w:val="24"/>
              </w:rPr>
            </w:pPr>
            <w:r>
              <w:rPr>
                <w:rFonts w:hint="eastAsia" w:ascii="宋体" w:hAnsi="宋体"/>
                <w:sz w:val="24"/>
              </w:rPr>
              <w:t>负责标准修订过程中的统筹安排以及标准的牵头起草工作</w:t>
            </w:r>
          </w:p>
        </w:tc>
        <w:tc>
          <w:tcPr>
            <w:tcW w:w="1571" w:type="dxa"/>
            <w:vAlign w:val="center"/>
          </w:tcPr>
          <w:p>
            <w:pPr>
              <w:jc w:val="center"/>
              <w:rPr>
                <w:rFonts w:ascii="宋体" w:hAnsi="宋体"/>
                <w:sz w:val="24"/>
              </w:rPr>
            </w:pPr>
            <w:r>
              <w:rPr>
                <w:rFonts w:hint="eastAsia" w:ascii="宋体" w:hAnsi="宋体"/>
                <w:sz w:val="24"/>
              </w:rPr>
              <w:t>肖骏、王锋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宋体" w:hAnsi="宋体"/>
                <w:sz w:val="24"/>
              </w:rPr>
            </w:pPr>
            <w:r>
              <w:rPr>
                <w:rFonts w:hint="eastAsia" w:ascii="宋体" w:hAnsi="宋体"/>
                <w:sz w:val="24"/>
              </w:rPr>
              <w:t>2</w:t>
            </w:r>
          </w:p>
        </w:tc>
        <w:tc>
          <w:tcPr>
            <w:tcW w:w="2955" w:type="dxa"/>
            <w:vAlign w:val="center"/>
          </w:tcPr>
          <w:p>
            <w:pPr>
              <w:jc w:val="center"/>
              <w:rPr>
                <w:rFonts w:ascii="宋体" w:hAnsi="宋体"/>
                <w:sz w:val="24"/>
              </w:rPr>
            </w:pPr>
            <w:r>
              <w:rPr>
                <w:rFonts w:hint="eastAsia" w:ascii="宋体" w:hAnsi="宋体"/>
                <w:sz w:val="24"/>
              </w:rPr>
              <w:t>湖北普罗格科技股份有限公司</w:t>
            </w:r>
          </w:p>
        </w:tc>
        <w:tc>
          <w:tcPr>
            <w:tcW w:w="3255" w:type="dxa"/>
          </w:tcPr>
          <w:p>
            <w:pPr>
              <w:rPr>
                <w:rFonts w:ascii="宋体" w:hAnsi="宋体"/>
                <w:sz w:val="24"/>
              </w:rPr>
            </w:pPr>
            <w:r>
              <w:rPr>
                <w:rFonts w:hint="eastAsia" w:ascii="宋体" w:hAnsi="宋体"/>
                <w:sz w:val="24"/>
              </w:rPr>
              <w:t>文本调研起草阶段，协助组织企业调研、为标准主要内容的研制提出建议</w:t>
            </w:r>
          </w:p>
        </w:tc>
        <w:tc>
          <w:tcPr>
            <w:tcW w:w="1571" w:type="dxa"/>
            <w:vAlign w:val="center"/>
          </w:tcPr>
          <w:p>
            <w:pPr>
              <w:jc w:val="center"/>
              <w:rPr>
                <w:rFonts w:hint="default" w:ascii="宋体" w:hAnsi="宋体" w:eastAsiaTheme="minorEastAsia"/>
                <w:color w:val="auto"/>
                <w:sz w:val="24"/>
                <w:lang w:val="en-US" w:eastAsia="zh-CN"/>
              </w:rPr>
            </w:pPr>
            <w:r>
              <w:rPr>
                <w:rFonts w:hint="eastAsia" w:ascii="宋体" w:hAnsi="宋体"/>
                <w:color w:val="auto"/>
              </w:rPr>
              <w:t>周志刚</w:t>
            </w:r>
            <w:r>
              <w:rPr>
                <w:rFonts w:hint="eastAsia" w:ascii="宋体" w:hAnsi="宋体"/>
                <w:color w:val="auto"/>
                <w:lang w:eastAsia="zh-CN"/>
              </w:rPr>
              <w:t>、</w:t>
            </w:r>
            <w:r>
              <w:rPr>
                <w:rFonts w:hint="eastAsia" w:ascii="宋体" w:hAnsi="宋体"/>
                <w:color w:val="auto"/>
                <w:lang w:val="en-US" w:eastAsia="zh-CN"/>
              </w:rPr>
              <w:t>王小军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宋体" w:hAnsi="宋体"/>
                <w:sz w:val="24"/>
              </w:rPr>
            </w:pPr>
            <w:r>
              <w:rPr>
                <w:rFonts w:ascii="宋体" w:hAnsi="宋体"/>
                <w:sz w:val="24"/>
              </w:rPr>
              <w:t>3</w:t>
            </w:r>
          </w:p>
        </w:tc>
        <w:tc>
          <w:tcPr>
            <w:tcW w:w="2955" w:type="dxa"/>
            <w:vAlign w:val="center"/>
          </w:tcPr>
          <w:p>
            <w:pPr>
              <w:jc w:val="center"/>
              <w:rPr>
                <w:rFonts w:ascii="宋体" w:hAnsi="宋体"/>
                <w:sz w:val="24"/>
              </w:rPr>
            </w:pPr>
            <w:r>
              <w:rPr>
                <w:rFonts w:hint="eastAsia" w:ascii="宋体" w:hAnsi="宋体"/>
                <w:sz w:val="24"/>
              </w:rPr>
              <w:t>南京音飞储存设备（集团）有限公司</w:t>
            </w:r>
          </w:p>
        </w:tc>
        <w:tc>
          <w:tcPr>
            <w:tcW w:w="3255" w:type="dxa"/>
            <w:vAlign w:val="center"/>
          </w:tcPr>
          <w:p>
            <w:pPr>
              <w:rPr>
                <w:rFonts w:ascii="宋体" w:hAnsi="宋体"/>
                <w:sz w:val="24"/>
              </w:rPr>
            </w:pPr>
            <w:r>
              <w:rPr>
                <w:rFonts w:hint="eastAsia" w:ascii="宋体" w:hAnsi="宋体"/>
                <w:sz w:val="24"/>
              </w:rPr>
              <w:t>参与标准主要内容的研制</w:t>
            </w:r>
          </w:p>
        </w:tc>
        <w:tc>
          <w:tcPr>
            <w:tcW w:w="1571" w:type="dxa"/>
            <w:vAlign w:val="center"/>
          </w:tcPr>
          <w:p>
            <w:pPr>
              <w:jc w:val="center"/>
              <w:rPr>
                <w:rFonts w:hint="default" w:ascii="宋体" w:hAnsi="宋体" w:eastAsiaTheme="minorEastAsia"/>
                <w:color w:val="auto"/>
                <w:sz w:val="24"/>
                <w:lang w:val="en-US" w:eastAsia="zh-CN"/>
              </w:rPr>
            </w:pPr>
            <w:r>
              <w:rPr>
                <w:rFonts w:hint="eastAsia" w:ascii="宋体" w:hAnsi="宋体"/>
                <w:color w:val="auto"/>
                <w:sz w:val="24"/>
                <w:lang w:val="en-US" w:eastAsia="zh-CN"/>
              </w:rPr>
              <w:t>金跃跃、顾涛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宋体" w:hAnsi="宋体"/>
                <w:sz w:val="24"/>
              </w:rPr>
            </w:pPr>
            <w:r>
              <w:rPr>
                <w:rFonts w:ascii="宋体" w:hAnsi="宋体"/>
                <w:sz w:val="24"/>
              </w:rPr>
              <w:t>4</w:t>
            </w:r>
          </w:p>
        </w:tc>
        <w:tc>
          <w:tcPr>
            <w:tcW w:w="2955" w:type="dxa"/>
            <w:vAlign w:val="center"/>
          </w:tcPr>
          <w:p>
            <w:pPr>
              <w:jc w:val="center"/>
              <w:rPr>
                <w:rFonts w:ascii="宋体" w:hAnsi="宋体"/>
                <w:sz w:val="24"/>
              </w:rPr>
            </w:pPr>
            <w:r>
              <w:rPr>
                <w:rFonts w:hint="eastAsia" w:ascii="宋体" w:hAnsi="宋体"/>
                <w:sz w:val="24"/>
              </w:rPr>
              <w:t>江苏六维物流设备实业有限公司</w:t>
            </w:r>
          </w:p>
        </w:tc>
        <w:tc>
          <w:tcPr>
            <w:tcW w:w="3255" w:type="dxa"/>
            <w:vAlign w:val="center"/>
          </w:tcPr>
          <w:p>
            <w:pPr>
              <w:rPr>
                <w:rFonts w:ascii="宋体" w:hAnsi="宋体"/>
                <w:sz w:val="24"/>
              </w:rPr>
            </w:pPr>
            <w:r>
              <w:rPr>
                <w:rFonts w:hint="eastAsia" w:ascii="宋体" w:hAnsi="宋体"/>
                <w:sz w:val="24"/>
              </w:rPr>
              <w:t>参与标准主要内容的研制</w:t>
            </w:r>
          </w:p>
        </w:tc>
        <w:tc>
          <w:tcPr>
            <w:tcW w:w="1571" w:type="dxa"/>
            <w:vAlign w:val="center"/>
          </w:tcPr>
          <w:p>
            <w:pPr>
              <w:jc w:val="center"/>
              <w:rPr>
                <w:rFonts w:hint="eastAsia" w:ascii="宋体" w:hAnsi="宋体" w:eastAsiaTheme="minorEastAsia"/>
                <w:color w:val="auto"/>
                <w:sz w:val="24"/>
                <w:lang w:val="en-US" w:eastAsia="zh-CN"/>
              </w:rPr>
            </w:pPr>
            <w:r>
              <w:rPr>
                <w:rFonts w:hint="eastAsia" w:ascii="宋体" w:hAnsi="宋体"/>
                <w:color w:val="auto"/>
                <w:sz w:val="24"/>
                <w:lang w:val="en-US" w:eastAsia="zh-CN"/>
              </w:rPr>
              <w:t>苏坤学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宋体" w:hAnsi="宋体"/>
                <w:sz w:val="24"/>
              </w:rPr>
            </w:pPr>
            <w:r>
              <w:rPr>
                <w:rFonts w:ascii="宋体" w:hAnsi="宋体"/>
                <w:sz w:val="24"/>
              </w:rPr>
              <w:t>5</w:t>
            </w:r>
          </w:p>
        </w:tc>
        <w:tc>
          <w:tcPr>
            <w:tcW w:w="2955" w:type="dxa"/>
            <w:vAlign w:val="center"/>
          </w:tcPr>
          <w:p>
            <w:pPr>
              <w:jc w:val="center"/>
              <w:rPr>
                <w:rFonts w:ascii="宋体" w:hAnsi="宋体"/>
                <w:sz w:val="24"/>
              </w:rPr>
            </w:pPr>
            <w:r>
              <w:rPr>
                <w:rFonts w:hint="eastAsia" w:ascii="宋体" w:hAnsi="宋体"/>
                <w:sz w:val="24"/>
              </w:rPr>
              <w:t>深圳市矽赫科技有限公司</w:t>
            </w:r>
          </w:p>
        </w:tc>
        <w:tc>
          <w:tcPr>
            <w:tcW w:w="3255" w:type="dxa"/>
            <w:vAlign w:val="center"/>
          </w:tcPr>
          <w:p>
            <w:pPr>
              <w:rPr>
                <w:rFonts w:ascii="宋体" w:hAnsi="宋体"/>
                <w:sz w:val="24"/>
              </w:rPr>
            </w:pPr>
            <w:r>
              <w:rPr>
                <w:rFonts w:hint="eastAsia" w:ascii="宋体" w:hAnsi="宋体"/>
                <w:sz w:val="24"/>
              </w:rPr>
              <w:t>参与标准主要内容的研制</w:t>
            </w:r>
          </w:p>
        </w:tc>
        <w:tc>
          <w:tcPr>
            <w:tcW w:w="1571" w:type="dxa"/>
            <w:vAlign w:val="center"/>
          </w:tcPr>
          <w:p>
            <w:pPr>
              <w:jc w:val="center"/>
              <w:rPr>
                <w:rFonts w:ascii="宋体" w:hAnsi="宋体"/>
                <w:color w:val="auto"/>
                <w:sz w:val="24"/>
              </w:rPr>
            </w:pPr>
            <w:r>
              <w:rPr>
                <w:rFonts w:hint="eastAsia" w:ascii="宋体" w:hAnsi="宋体"/>
                <w:color w:val="auto"/>
              </w:rPr>
              <w:t>洪鹏达</w:t>
            </w:r>
          </w:p>
        </w:tc>
      </w:tr>
    </w:tbl>
    <w:p>
      <w:pPr>
        <w:spacing w:line="360" w:lineRule="auto"/>
        <w:ind w:firstLine="640" w:firstLineChars="200"/>
        <w:rPr>
          <w:sz w:val="32"/>
          <w:szCs w:val="32"/>
        </w:rPr>
      </w:pPr>
    </w:p>
    <w:p>
      <w:pPr>
        <w:ind w:firstLine="640" w:firstLineChars="200"/>
        <w:rPr>
          <w:rFonts w:ascii="黑体" w:hAnsi="黑体" w:eastAsia="黑体" w:cs="黑体"/>
          <w:sz w:val="32"/>
          <w:szCs w:val="32"/>
        </w:rPr>
      </w:pPr>
      <w:r>
        <w:rPr>
          <w:rFonts w:hint="eastAsia" w:ascii="黑体" w:hAnsi="黑体" w:eastAsia="黑体" w:cs="黑体"/>
          <w:sz w:val="32"/>
          <w:szCs w:val="32"/>
        </w:rPr>
        <w:t>二、编制原则、主要内容及其确定的来源和依据</w:t>
      </w:r>
    </w:p>
    <w:p>
      <w:pPr>
        <w:ind w:firstLine="600" w:firstLineChars="200"/>
        <w:rPr>
          <w:sz w:val="30"/>
          <w:szCs w:val="30"/>
        </w:rPr>
      </w:pPr>
      <w:r>
        <w:rPr>
          <w:rFonts w:hint="eastAsia"/>
          <w:sz w:val="30"/>
          <w:szCs w:val="30"/>
        </w:rPr>
        <w:t>（一）编制原则</w:t>
      </w:r>
    </w:p>
    <w:p>
      <w:pPr>
        <w:spacing w:line="360" w:lineRule="auto"/>
        <w:ind w:firstLine="600" w:firstLineChars="200"/>
        <w:rPr>
          <w:sz w:val="30"/>
          <w:szCs w:val="30"/>
        </w:rPr>
      </w:pPr>
      <w:r>
        <w:rPr>
          <w:rFonts w:hint="eastAsia"/>
          <w:sz w:val="30"/>
          <w:szCs w:val="30"/>
        </w:rPr>
        <w:t>本标准是一项设备管理标准，在编制本标准的过程中遵循以下原则：</w:t>
      </w:r>
    </w:p>
    <w:p>
      <w:pPr>
        <w:spacing w:line="360" w:lineRule="auto"/>
        <w:ind w:firstLine="600" w:firstLineChars="200"/>
        <w:rPr>
          <w:sz w:val="30"/>
          <w:szCs w:val="30"/>
        </w:rPr>
      </w:pPr>
      <w:r>
        <w:rPr>
          <w:rFonts w:hint="eastAsia"/>
          <w:sz w:val="30"/>
          <w:szCs w:val="30"/>
        </w:rPr>
        <w:t>1、一致性原则</w:t>
      </w:r>
    </w:p>
    <w:p>
      <w:pPr>
        <w:spacing w:line="360" w:lineRule="auto"/>
        <w:ind w:firstLine="600" w:firstLineChars="200"/>
        <w:rPr>
          <w:sz w:val="30"/>
          <w:szCs w:val="30"/>
        </w:rPr>
      </w:pPr>
      <w:r>
        <w:rPr>
          <w:rFonts w:hint="eastAsia"/>
          <w:sz w:val="30"/>
          <w:szCs w:val="30"/>
        </w:rPr>
        <w:t>在标准修订的过程中，应严格按照国家的有关方针、政策及法律、法规的规定和要求，与现有相关国家标准和行业标准相一致。</w:t>
      </w:r>
    </w:p>
    <w:p>
      <w:pPr>
        <w:spacing w:line="360" w:lineRule="auto"/>
        <w:ind w:firstLine="600" w:firstLineChars="200"/>
        <w:rPr>
          <w:sz w:val="30"/>
          <w:szCs w:val="30"/>
        </w:rPr>
      </w:pPr>
      <w:r>
        <w:rPr>
          <w:rFonts w:hint="eastAsia"/>
          <w:sz w:val="30"/>
          <w:szCs w:val="30"/>
        </w:rPr>
        <w:t>2、准确性和适用性原则</w:t>
      </w:r>
    </w:p>
    <w:p>
      <w:pPr>
        <w:spacing w:line="360" w:lineRule="auto"/>
        <w:ind w:firstLine="600" w:firstLineChars="200"/>
        <w:rPr>
          <w:sz w:val="30"/>
          <w:szCs w:val="30"/>
        </w:rPr>
      </w:pPr>
      <w:r>
        <w:rPr>
          <w:rFonts w:hint="eastAsia"/>
          <w:sz w:val="30"/>
          <w:szCs w:val="30"/>
        </w:rPr>
        <w:t>标准的修订过程中，经过对国内多家物流仓储企业、分拣中心在自动分拣设备管理方面的调研（调研企业及情况见附件2），分析自动分拣设备应用现状并参考国家现有标准，确保标准修订内容的准确性；同时也要根据科技的进步和自动分拣设备的特点来对本标准内容进行补充，既要使本标准适应当前设备现状的实际情况，又要能预测自动分拣设备的发展趋势而使修订后的标准在一定期限内不落后，能适应发展的需要。</w:t>
      </w:r>
    </w:p>
    <w:p>
      <w:pPr>
        <w:ind w:firstLine="600" w:firstLineChars="200"/>
        <w:rPr>
          <w:rFonts w:hint="eastAsia"/>
          <w:sz w:val="30"/>
          <w:szCs w:val="30"/>
        </w:rPr>
      </w:pPr>
      <w:r>
        <w:rPr>
          <w:rFonts w:hint="eastAsia"/>
          <w:sz w:val="30"/>
          <w:szCs w:val="30"/>
          <w:lang w:eastAsia="zh-CN"/>
        </w:rPr>
        <w:t>（</w:t>
      </w:r>
      <w:r>
        <w:rPr>
          <w:rFonts w:hint="eastAsia"/>
          <w:sz w:val="30"/>
          <w:szCs w:val="30"/>
          <w:lang w:val="en-US" w:eastAsia="zh-CN"/>
        </w:rPr>
        <w:t>二）</w:t>
      </w:r>
      <w:r>
        <w:rPr>
          <w:rFonts w:hint="eastAsia"/>
          <w:sz w:val="30"/>
          <w:szCs w:val="30"/>
        </w:rPr>
        <w:t>主要内容及其确定依据</w:t>
      </w:r>
    </w:p>
    <w:p>
      <w:pPr>
        <w:spacing w:line="360" w:lineRule="auto"/>
        <w:ind w:firstLine="560"/>
        <w:rPr>
          <w:rFonts w:ascii="ˎ̥" w:hAnsi="ˎ̥"/>
          <w:kern w:val="0"/>
          <w:sz w:val="30"/>
          <w:szCs w:val="30"/>
        </w:rPr>
      </w:pPr>
      <w:r>
        <w:rPr>
          <w:rFonts w:hint="eastAsia"/>
          <w:sz w:val="30"/>
          <w:szCs w:val="30"/>
        </w:rPr>
        <w:t>修订后的标准主要框架基本不变，按照</w:t>
      </w:r>
      <w:r>
        <w:rPr>
          <w:rFonts w:hint="eastAsia" w:ascii="ˎ̥" w:hAnsi="ˎ̥"/>
          <w:kern w:val="0"/>
          <w:sz w:val="30"/>
          <w:szCs w:val="30"/>
        </w:rPr>
        <w:t>GB/T 1.1—2020《标准化工作导则第1部分：标准化文件的结构和起草规则》的起草规则，第2章规范性引用文件是必备项，故增加“规范性引用文件”一章后，修订后的标准共10章：</w:t>
      </w:r>
    </w:p>
    <w:p>
      <w:pPr>
        <w:numPr>
          <w:ilvl w:val="0"/>
          <w:numId w:val="4"/>
        </w:numPr>
        <w:spacing w:line="360" w:lineRule="auto"/>
        <w:ind w:firstLine="560"/>
        <w:rPr>
          <w:rFonts w:ascii="ˎ̥" w:hAnsi="ˎ̥"/>
          <w:kern w:val="0"/>
          <w:sz w:val="30"/>
          <w:szCs w:val="30"/>
        </w:rPr>
      </w:pPr>
      <w:r>
        <w:rPr>
          <w:rFonts w:hint="eastAsia" w:ascii="ˎ̥" w:hAnsi="ˎ̥"/>
          <w:kern w:val="0"/>
          <w:sz w:val="30"/>
          <w:szCs w:val="30"/>
        </w:rPr>
        <w:t>范围</w:t>
      </w:r>
    </w:p>
    <w:p>
      <w:pPr>
        <w:spacing w:line="360" w:lineRule="auto"/>
        <w:ind w:firstLine="600" w:firstLineChars="200"/>
        <w:rPr>
          <w:rFonts w:ascii="ˎ̥" w:hAnsi="ˎ̥"/>
          <w:kern w:val="0"/>
          <w:sz w:val="30"/>
          <w:szCs w:val="30"/>
        </w:rPr>
      </w:pPr>
      <w:r>
        <w:rPr>
          <w:rFonts w:hint="eastAsia" w:ascii="ˎ̥" w:hAnsi="ˎ̥"/>
          <w:kern w:val="0"/>
          <w:sz w:val="30"/>
          <w:szCs w:val="30"/>
        </w:rPr>
        <w:t>在标准复审和标准修订的调研中，企业均表示自动分拣设备管理主要关注前期规划设计、设备的安装调试和验收、使用规范、维护和修理、技术培训等内容。原版标准中规定的范围和主要内容现在依旧适用，即：</w:t>
      </w:r>
    </w:p>
    <w:p>
      <w:pPr>
        <w:pStyle w:val="13"/>
        <w:tabs>
          <w:tab w:val="center" w:pos="4201"/>
          <w:tab w:val="right" w:leader="dot" w:pos="9298"/>
        </w:tabs>
        <w:ind w:firstLine="600"/>
        <w:rPr>
          <w:rFonts w:ascii="ˎ̥" w:hAnsi="ˎ̥"/>
          <w:sz w:val="30"/>
          <w:szCs w:val="30"/>
        </w:rPr>
      </w:pPr>
      <w:r>
        <w:rPr>
          <w:rFonts w:hint="eastAsia" w:ascii="ˎ̥" w:hAnsi="ˎ̥"/>
          <w:sz w:val="30"/>
          <w:szCs w:val="30"/>
        </w:rPr>
        <w:t>本文件规定了自动分拣设备的基础管理、前期管理、使用管理、维护和修理管理、改造、更新和报废管理、技术培训管理、档案管理等要求。</w:t>
      </w:r>
    </w:p>
    <w:p>
      <w:pPr>
        <w:pStyle w:val="13"/>
        <w:tabs>
          <w:tab w:val="center" w:pos="4201"/>
          <w:tab w:val="right" w:leader="dot" w:pos="9298"/>
        </w:tabs>
        <w:ind w:firstLine="600"/>
        <w:rPr>
          <w:rFonts w:ascii="ˎ̥" w:hAnsi="ˎ̥"/>
          <w:sz w:val="30"/>
          <w:szCs w:val="30"/>
        </w:rPr>
      </w:pPr>
      <w:r>
        <w:rPr>
          <w:rFonts w:hint="eastAsia" w:ascii="ˎ̥" w:hAnsi="ˎ̥"/>
          <w:sz w:val="30"/>
          <w:szCs w:val="30"/>
        </w:rPr>
        <w:t>本文件适用于各类自动分拣设备的管理。</w:t>
      </w:r>
    </w:p>
    <w:p>
      <w:pPr>
        <w:numPr>
          <w:ilvl w:val="0"/>
          <w:numId w:val="4"/>
        </w:numPr>
        <w:spacing w:line="360" w:lineRule="auto"/>
        <w:ind w:firstLine="560"/>
        <w:rPr>
          <w:rFonts w:ascii="ˎ̥" w:hAnsi="ˎ̥"/>
          <w:kern w:val="0"/>
          <w:sz w:val="30"/>
          <w:szCs w:val="30"/>
        </w:rPr>
      </w:pPr>
      <w:r>
        <w:rPr>
          <w:rFonts w:hint="eastAsia" w:ascii="ˎ̥" w:hAnsi="ˎ̥"/>
          <w:kern w:val="0"/>
          <w:sz w:val="30"/>
          <w:szCs w:val="30"/>
        </w:rPr>
        <w:t>规范性引用文件</w:t>
      </w:r>
    </w:p>
    <w:p>
      <w:pPr>
        <w:pStyle w:val="13"/>
        <w:tabs>
          <w:tab w:val="center" w:pos="4201"/>
          <w:tab w:val="right" w:leader="dot" w:pos="9298"/>
        </w:tabs>
        <w:ind w:firstLine="600"/>
        <w:rPr>
          <w:rFonts w:ascii="ˎ̥" w:hAnsi="ˎ̥"/>
          <w:sz w:val="30"/>
          <w:szCs w:val="30"/>
        </w:rPr>
      </w:pPr>
      <w:r>
        <w:rPr>
          <w:rFonts w:hint="eastAsia" w:ascii="ˎ̥" w:hAnsi="ˎ̥"/>
          <w:sz w:val="30"/>
          <w:szCs w:val="30"/>
        </w:rPr>
        <w:t>由于GB/T 1.1—2020《标准化工作导则第1部分：标准化文件的结构和起草规则》规定“规范性引用文件”一章是标准必不可少的部分，且在本标准修订过程中收集和整理了一些近年来发布的自动分拣设备相关的参考资料和现有标准，且对部分标准进行了引用，故增加本章节，并给出了本标准引用的相关标准文件：GB/T 18354 物流术语；GB/T 32828 仓储物流自动化系统功能安全规范。</w:t>
      </w:r>
    </w:p>
    <w:p>
      <w:pPr>
        <w:numPr>
          <w:ilvl w:val="0"/>
          <w:numId w:val="4"/>
        </w:numPr>
        <w:spacing w:line="360" w:lineRule="auto"/>
        <w:ind w:firstLine="560"/>
        <w:rPr>
          <w:rFonts w:ascii="ˎ̥" w:hAnsi="ˎ̥"/>
          <w:kern w:val="0"/>
          <w:sz w:val="30"/>
          <w:szCs w:val="30"/>
        </w:rPr>
      </w:pPr>
      <w:r>
        <w:rPr>
          <w:rFonts w:hint="eastAsia" w:ascii="ˎ̥" w:hAnsi="ˎ̥"/>
          <w:kern w:val="0"/>
          <w:sz w:val="30"/>
          <w:szCs w:val="30"/>
        </w:rPr>
        <w:t>术语和定义</w:t>
      </w:r>
    </w:p>
    <w:p>
      <w:pPr>
        <w:spacing w:line="360" w:lineRule="auto"/>
        <w:ind w:firstLine="600" w:firstLineChars="200"/>
        <w:rPr>
          <w:rFonts w:ascii="ˎ̥" w:hAnsi="ˎ̥"/>
          <w:kern w:val="0"/>
          <w:sz w:val="30"/>
          <w:szCs w:val="30"/>
        </w:rPr>
      </w:pPr>
      <w:r>
        <w:rPr>
          <w:rFonts w:hint="eastAsia" w:ascii="ˎ̥" w:hAnsi="ˎ̥"/>
          <w:kern w:val="0"/>
          <w:sz w:val="30"/>
          <w:szCs w:val="30"/>
        </w:rPr>
        <w:t>为便于标准使用者更好的理解“自动分拣设备”这个概念，修订时增加了“分拣”和“分拣设备”两个术语，逐步引出“自动分拣设备”这个概念。对“自动分拣设备”、“供件装置”的定义内容进行了修改。</w:t>
      </w:r>
    </w:p>
    <w:p>
      <w:pPr>
        <w:numPr>
          <w:ilvl w:val="0"/>
          <w:numId w:val="4"/>
        </w:numPr>
        <w:spacing w:line="360" w:lineRule="auto"/>
        <w:ind w:firstLine="560"/>
        <w:rPr>
          <w:rFonts w:ascii="ˎ̥" w:hAnsi="ˎ̥"/>
          <w:kern w:val="0"/>
          <w:sz w:val="30"/>
          <w:szCs w:val="30"/>
        </w:rPr>
      </w:pPr>
      <w:r>
        <w:rPr>
          <w:rFonts w:hint="eastAsia" w:ascii="ˎ̥" w:hAnsi="ˎ̥"/>
          <w:kern w:val="0"/>
          <w:sz w:val="30"/>
          <w:szCs w:val="30"/>
        </w:rPr>
        <w:t>基础管理</w:t>
      </w:r>
    </w:p>
    <w:p>
      <w:pPr>
        <w:spacing w:line="360" w:lineRule="auto"/>
        <w:ind w:firstLine="600" w:firstLineChars="200"/>
        <w:rPr>
          <w:rFonts w:ascii="ˎ̥" w:hAnsi="ˎ̥"/>
          <w:kern w:val="0"/>
          <w:sz w:val="30"/>
          <w:szCs w:val="30"/>
        </w:rPr>
      </w:pPr>
      <w:r>
        <w:rPr>
          <w:rFonts w:hint="eastAsia" w:ascii="ˎ̥" w:hAnsi="ˎ̥"/>
          <w:kern w:val="0"/>
          <w:sz w:val="30"/>
          <w:szCs w:val="30"/>
        </w:rPr>
        <w:t>本章是对自动分拣设备管理的最基础的要求，依据修订过程中调研企业的实践总结得出，即：</w:t>
      </w:r>
    </w:p>
    <w:p>
      <w:pPr>
        <w:numPr>
          <w:ilvl w:val="0"/>
          <w:numId w:val="5"/>
        </w:numPr>
        <w:spacing w:line="360" w:lineRule="auto"/>
        <w:ind w:firstLine="600" w:firstLineChars="200"/>
        <w:rPr>
          <w:rFonts w:ascii="ˎ̥" w:hAnsi="ˎ̥"/>
          <w:kern w:val="0"/>
          <w:sz w:val="30"/>
          <w:szCs w:val="30"/>
        </w:rPr>
      </w:pPr>
      <w:r>
        <w:rPr>
          <w:rFonts w:hint="eastAsia" w:ascii="ˎ̥" w:hAnsi="ˎ̥"/>
          <w:kern w:val="0"/>
          <w:sz w:val="30"/>
          <w:szCs w:val="30"/>
        </w:rPr>
        <w:t>设置专职的设备管理机构，配备专职设备管理人员和维修人员，由该管理机构负责相关工作。</w:t>
      </w:r>
    </w:p>
    <w:p>
      <w:pPr>
        <w:numPr>
          <w:ilvl w:val="0"/>
          <w:numId w:val="5"/>
        </w:numPr>
        <w:spacing w:line="360" w:lineRule="auto"/>
        <w:ind w:firstLine="600" w:firstLineChars="200"/>
        <w:rPr>
          <w:rFonts w:ascii="ˎ̥" w:hAnsi="ˎ̥"/>
          <w:kern w:val="0"/>
          <w:sz w:val="30"/>
          <w:szCs w:val="30"/>
        </w:rPr>
      </w:pPr>
      <w:r>
        <w:rPr>
          <w:rFonts w:hint="eastAsia" w:ascii="ˎ̥" w:hAnsi="ˎ̥"/>
          <w:kern w:val="0"/>
          <w:sz w:val="30"/>
          <w:szCs w:val="30"/>
        </w:rPr>
        <w:t>要有健全的规章制度，从复审和修订过程中的调研情况总结分析，自动分拣设备使用企业在岗位制度、设备验收、设备管理（设备采购、使用、维护和修理）、设备档案管理、相关人员的培训等方面需要制定相关制度作为基础保障。</w:t>
      </w:r>
    </w:p>
    <w:p>
      <w:pPr>
        <w:numPr>
          <w:ilvl w:val="0"/>
          <w:numId w:val="5"/>
        </w:numPr>
        <w:spacing w:line="360" w:lineRule="auto"/>
        <w:ind w:firstLine="600" w:firstLineChars="200"/>
        <w:rPr>
          <w:rFonts w:ascii="ˎ̥" w:hAnsi="ˎ̥"/>
          <w:kern w:val="0"/>
          <w:sz w:val="30"/>
          <w:szCs w:val="30"/>
        </w:rPr>
      </w:pPr>
      <w:r>
        <w:rPr>
          <w:rFonts w:hint="eastAsia" w:ascii="ˎ̥" w:hAnsi="ˎ̥"/>
          <w:kern w:val="0"/>
          <w:sz w:val="30"/>
          <w:szCs w:val="30"/>
        </w:rPr>
        <w:t>人员方面，自动分拣设备操作人员、管理人员和维修人员都应经过岗位专业培训并考核合格后才能上岗。</w:t>
      </w:r>
    </w:p>
    <w:p>
      <w:pPr>
        <w:numPr>
          <w:ilvl w:val="0"/>
          <w:numId w:val="5"/>
        </w:numPr>
        <w:spacing w:line="360" w:lineRule="auto"/>
        <w:ind w:firstLine="600" w:firstLineChars="200"/>
        <w:rPr>
          <w:rFonts w:ascii="ˎ̥" w:hAnsi="ˎ̥"/>
          <w:kern w:val="0"/>
          <w:sz w:val="30"/>
          <w:szCs w:val="30"/>
        </w:rPr>
      </w:pPr>
      <w:r>
        <w:rPr>
          <w:rFonts w:hint="eastAsia" w:ascii="ˎ̥" w:hAnsi="ˎ̥"/>
          <w:kern w:val="0"/>
          <w:sz w:val="30"/>
          <w:szCs w:val="30"/>
        </w:rPr>
        <w:t>环保方面，主要是设备运行中产生的粉尘污染和噪音污染，要有有效的防护措施。</w:t>
      </w:r>
    </w:p>
    <w:p>
      <w:pPr>
        <w:numPr>
          <w:ilvl w:val="0"/>
          <w:numId w:val="5"/>
        </w:numPr>
        <w:spacing w:line="360" w:lineRule="auto"/>
        <w:ind w:firstLine="600" w:firstLineChars="200"/>
        <w:rPr>
          <w:rFonts w:ascii="ˎ̥" w:hAnsi="ˎ̥"/>
          <w:kern w:val="0"/>
          <w:sz w:val="30"/>
          <w:szCs w:val="30"/>
        </w:rPr>
      </w:pPr>
      <w:r>
        <w:rPr>
          <w:rFonts w:hint="eastAsia" w:ascii="ˎ̥" w:hAnsi="ˎ̥"/>
          <w:kern w:val="0"/>
          <w:sz w:val="30"/>
          <w:szCs w:val="30"/>
        </w:rPr>
        <w:t>安全方面，是修订后增加的一项基础要求，主要是参考2016年发布的《仓储物流自动化系统功能安全规范》，该规范中对自动化设备的控制系统和人机交互的安全措施提出了要求，这些安全要求也是自动分拣设备使用和管理中应遵循的基本要求。</w:t>
      </w:r>
    </w:p>
    <w:p>
      <w:pPr>
        <w:numPr>
          <w:ilvl w:val="0"/>
          <w:numId w:val="5"/>
        </w:numPr>
        <w:spacing w:line="360" w:lineRule="auto"/>
        <w:ind w:firstLine="600" w:firstLineChars="200"/>
        <w:rPr>
          <w:rFonts w:ascii="ˎ̥" w:hAnsi="ˎ̥"/>
          <w:kern w:val="0"/>
          <w:sz w:val="30"/>
          <w:szCs w:val="30"/>
        </w:rPr>
      </w:pPr>
      <w:r>
        <w:rPr>
          <w:rFonts w:hint="eastAsia" w:ascii="ˎ̥" w:hAnsi="ˎ̥"/>
          <w:kern w:val="0"/>
          <w:sz w:val="30"/>
          <w:szCs w:val="30"/>
        </w:rPr>
        <w:t>设备处理的基本原则，即严格保护事故现场、事故原因要查明、事故要有调查分析和记录。</w:t>
      </w:r>
    </w:p>
    <w:p>
      <w:pPr>
        <w:numPr>
          <w:ilvl w:val="0"/>
          <w:numId w:val="4"/>
        </w:numPr>
        <w:spacing w:line="360" w:lineRule="auto"/>
        <w:ind w:firstLine="560"/>
        <w:rPr>
          <w:rFonts w:ascii="ˎ̥" w:hAnsi="ˎ̥"/>
          <w:kern w:val="0"/>
          <w:sz w:val="30"/>
          <w:szCs w:val="30"/>
        </w:rPr>
      </w:pPr>
      <w:r>
        <w:rPr>
          <w:rFonts w:hint="eastAsia" w:ascii="ˎ̥" w:hAnsi="ˎ̥"/>
          <w:kern w:val="0"/>
          <w:sz w:val="30"/>
          <w:szCs w:val="30"/>
        </w:rPr>
        <w:t>前期管理</w:t>
      </w:r>
    </w:p>
    <w:p>
      <w:pPr>
        <w:spacing w:line="360" w:lineRule="auto"/>
        <w:ind w:firstLine="600" w:firstLineChars="200"/>
        <w:rPr>
          <w:rFonts w:ascii="ˎ̥" w:hAnsi="ˎ̥"/>
          <w:kern w:val="0"/>
          <w:sz w:val="30"/>
          <w:szCs w:val="30"/>
        </w:rPr>
      </w:pPr>
      <w:r>
        <w:rPr>
          <w:rFonts w:hint="eastAsia" w:ascii="ˎ̥" w:hAnsi="ˎ̥"/>
          <w:kern w:val="0"/>
          <w:sz w:val="30"/>
          <w:szCs w:val="30"/>
        </w:rPr>
        <w:t>在标准修订过程中标准工作组走访的企业表示前期的设备购置规划、安装、调试和验收仍旧是自动分拣设备使用单位关注的重要内容。本章的修订主要是对原标准的条款内容重新进行了梳理：</w:t>
      </w:r>
    </w:p>
    <w:p>
      <w:pPr>
        <w:spacing w:line="360" w:lineRule="auto"/>
        <w:ind w:firstLine="600" w:firstLineChars="200"/>
        <w:rPr>
          <w:rFonts w:ascii="ˎ̥" w:hAnsi="ˎ̥"/>
          <w:kern w:val="0"/>
          <w:sz w:val="30"/>
          <w:szCs w:val="30"/>
        </w:rPr>
      </w:pPr>
      <w:r>
        <w:rPr>
          <w:rFonts w:hint="eastAsia" w:ascii="ˎ̥" w:hAnsi="ˎ̥"/>
          <w:kern w:val="0"/>
          <w:sz w:val="30"/>
          <w:szCs w:val="30"/>
        </w:rPr>
        <w:t>5.1概述。即在自动分拣设备正式投入运行前应关注的工作：购置规划、购置、安装调试和验收。</w:t>
      </w:r>
    </w:p>
    <w:p>
      <w:pPr>
        <w:pStyle w:val="14"/>
        <w:numPr>
          <w:ilvl w:val="0"/>
          <w:numId w:val="0"/>
        </w:numPr>
        <w:ind w:firstLine="600" w:firstLineChars="200"/>
        <w:rPr>
          <w:rFonts w:ascii="ˎ̥" w:hAnsi="ˎ̥"/>
          <w:sz w:val="30"/>
          <w:szCs w:val="30"/>
        </w:rPr>
      </w:pPr>
      <w:r>
        <w:rPr>
          <w:rFonts w:hint="eastAsia" w:ascii="ˎ̥" w:hAnsi="ˎ̥"/>
          <w:sz w:val="30"/>
          <w:szCs w:val="30"/>
        </w:rPr>
        <w:t>5.2购置规划。重新梳理原标准相关内容，提出编制自动分拣设备购置规划时应考虑的因素，并依据调研企业的实践经验和建议，补充了一项应考虑的因素：如购置分拣设备为改造升级用途，还需考虑购置设备与现有软硬件设备的配合情况。</w:t>
      </w:r>
    </w:p>
    <w:p>
      <w:pPr>
        <w:spacing w:line="360" w:lineRule="auto"/>
        <w:ind w:firstLine="600" w:firstLineChars="200"/>
        <w:rPr>
          <w:rFonts w:ascii="ˎ̥" w:hAnsi="ˎ̥"/>
          <w:kern w:val="0"/>
          <w:sz w:val="30"/>
          <w:szCs w:val="30"/>
        </w:rPr>
      </w:pPr>
      <w:r>
        <w:rPr>
          <w:rFonts w:hint="eastAsia" w:ascii="ˎ̥" w:hAnsi="ˎ̥"/>
          <w:kern w:val="0"/>
          <w:sz w:val="30"/>
          <w:szCs w:val="30"/>
        </w:rPr>
        <w:t>5.3购置。与十年前相比，现在的自动分拣设备供应商除了需要提供符合要求的分拣设备外，设备使用方对供应方还有其他方面的约定要求，如：设备供应方对验收交付环节中的人员操作培训内容、范围、培训效果等要求有明确计划，确保使用方能够自行解决日常点检维护范围内的工作；质保期后的长期维护情况，如易损件的供应渠道、突发故障的维护响应情况等有要求。本次修订增加了这部分要求。</w:t>
      </w:r>
    </w:p>
    <w:p>
      <w:pPr>
        <w:spacing w:line="360" w:lineRule="auto"/>
        <w:ind w:firstLine="600" w:firstLineChars="200"/>
        <w:rPr>
          <w:rFonts w:ascii="ˎ̥" w:hAnsi="ˎ̥"/>
          <w:kern w:val="0"/>
          <w:sz w:val="30"/>
          <w:szCs w:val="30"/>
        </w:rPr>
      </w:pPr>
      <w:r>
        <w:rPr>
          <w:rFonts w:hint="eastAsia" w:ascii="ˎ̥" w:hAnsi="ˎ̥"/>
          <w:kern w:val="0"/>
          <w:sz w:val="30"/>
          <w:szCs w:val="30"/>
        </w:rPr>
        <w:t>5.4安装、调试和验收。标准修订时调研的企业均认为原标准中关于安装、调试和验收的标准内容与实际情况相符，本章没有技术内容方面的修改，对原标准4.4.7设备投产后的要求做了删除。</w:t>
      </w:r>
    </w:p>
    <w:p>
      <w:pPr>
        <w:numPr>
          <w:ilvl w:val="0"/>
          <w:numId w:val="4"/>
        </w:numPr>
        <w:spacing w:line="360" w:lineRule="auto"/>
        <w:ind w:firstLine="560"/>
        <w:rPr>
          <w:rFonts w:ascii="ˎ̥" w:hAnsi="ˎ̥"/>
          <w:kern w:val="0"/>
          <w:sz w:val="30"/>
          <w:szCs w:val="30"/>
        </w:rPr>
      </w:pPr>
      <w:r>
        <w:rPr>
          <w:rFonts w:hint="eastAsia" w:ascii="ˎ̥" w:hAnsi="ˎ̥"/>
          <w:kern w:val="0"/>
          <w:sz w:val="30"/>
          <w:szCs w:val="30"/>
        </w:rPr>
        <w:t>使用管理</w:t>
      </w:r>
    </w:p>
    <w:p>
      <w:pPr>
        <w:spacing w:line="360" w:lineRule="auto"/>
        <w:ind w:firstLine="600" w:firstLineChars="200"/>
        <w:rPr>
          <w:rFonts w:ascii="ˎ̥" w:hAnsi="ˎ̥"/>
          <w:kern w:val="0"/>
          <w:sz w:val="30"/>
          <w:szCs w:val="30"/>
        </w:rPr>
      </w:pPr>
      <w:r>
        <w:rPr>
          <w:rFonts w:hint="eastAsia" w:ascii="ˎ̥" w:hAnsi="ˎ̥"/>
          <w:kern w:val="0"/>
          <w:sz w:val="30"/>
          <w:szCs w:val="30"/>
        </w:rPr>
        <w:t>标准工作组结合修订过程中的企业调研情况（见附件2）分析，认为原标准中使用管理的内容现在仍旧适用，对本章的逻辑结构进行了重新梳理。</w:t>
      </w:r>
    </w:p>
    <w:p>
      <w:pPr>
        <w:numPr>
          <w:ilvl w:val="0"/>
          <w:numId w:val="4"/>
        </w:numPr>
        <w:spacing w:line="360" w:lineRule="auto"/>
        <w:ind w:firstLine="560"/>
        <w:rPr>
          <w:rFonts w:ascii="ˎ̥" w:hAnsi="ˎ̥"/>
          <w:kern w:val="0"/>
          <w:sz w:val="30"/>
          <w:szCs w:val="30"/>
        </w:rPr>
      </w:pPr>
      <w:r>
        <w:rPr>
          <w:rFonts w:hint="eastAsia" w:ascii="ˎ̥" w:hAnsi="ˎ̥"/>
          <w:kern w:val="0"/>
          <w:sz w:val="30"/>
          <w:szCs w:val="30"/>
        </w:rPr>
        <w:t>维护和修理管理</w:t>
      </w:r>
    </w:p>
    <w:p>
      <w:pPr>
        <w:spacing w:line="360" w:lineRule="auto"/>
        <w:ind w:firstLine="600" w:firstLineChars="200"/>
        <w:rPr>
          <w:rFonts w:ascii="ˎ̥" w:hAnsi="ˎ̥"/>
          <w:kern w:val="0"/>
          <w:sz w:val="30"/>
          <w:szCs w:val="30"/>
        </w:rPr>
      </w:pPr>
      <w:r>
        <w:rPr>
          <w:rFonts w:hint="eastAsia" w:ascii="ˎ̥" w:hAnsi="ˎ̥"/>
          <w:kern w:val="0"/>
          <w:sz w:val="30"/>
          <w:szCs w:val="30"/>
        </w:rPr>
        <w:t>此次修订过程中调研走访的企业中，部分企业在维护和修理管理方面采用的是点检和定期巡检相结合的维护方案，但实际检查内容与检查周期与原标准中的例行维护及三级维护是相符的。针对设备修理问题，调研企业表示设备使用单位相关操作人员、管理人员和维修人员经过技术培训，对于部分故障能自行处理的就由使用单位自行处理，不能自行处理的重大故障需交由设备供应方或有专业资质的单位进行修理，针对不同的故障情况提出不同的维修计划。故对本章的修订主要是对标准内容进行了重新梳理，提炼出了维护和修理管理的基本要求</w:t>
      </w:r>
      <w:r>
        <w:rPr>
          <w:rFonts w:hint="eastAsia" w:ascii="ˎ̥" w:hAnsi="ˎ̥"/>
          <w:kern w:val="0"/>
          <w:sz w:val="30"/>
          <w:szCs w:val="30"/>
          <w:lang w:eastAsia="zh-CN"/>
        </w:rPr>
        <w:t>，</w:t>
      </w:r>
      <w:r>
        <w:rPr>
          <w:rFonts w:hint="eastAsia" w:ascii="ˎ̥" w:hAnsi="ˎ̥"/>
          <w:kern w:val="0"/>
          <w:sz w:val="30"/>
          <w:szCs w:val="30"/>
          <w:lang w:val="en-US" w:eastAsia="zh-CN"/>
        </w:rPr>
        <w:t>基本要求中增加了对设备易损件的及时更换要求和备货要求。</w:t>
      </w:r>
      <w:r>
        <w:rPr>
          <w:rFonts w:hint="eastAsia" w:ascii="ˎ̥" w:hAnsi="ˎ̥"/>
          <w:kern w:val="0"/>
          <w:sz w:val="30"/>
          <w:szCs w:val="30"/>
        </w:rPr>
        <w:t>设备修理部分增加了停机检查和确认维修计划的要求。</w:t>
      </w:r>
      <w:bookmarkStart w:id="0" w:name="_GoBack"/>
      <w:bookmarkEnd w:id="0"/>
    </w:p>
    <w:p>
      <w:pPr>
        <w:numPr>
          <w:ilvl w:val="0"/>
          <w:numId w:val="4"/>
        </w:numPr>
        <w:spacing w:line="360" w:lineRule="auto"/>
        <w:ind w:firstLine="560"/>
        <w:rPr>
          <w:rFonts w:ascii="ˎ̥" w:hAnsi="ˎ̥"/>
          <w:kern w:val="0"/>
          <w:sz w:val="30"/>
          <w:szCs w:val="30"/>
        </w:rPr>
      </w:pPr>
      <w:r>
        <w:rPr>
          <w:rFonts w:hint="eastAsia" w:ascii="ˎ̥" w:hAnsi="ˎ̥"/>
          <w:kern w:val="0"/>
          <w:sz w:val="30"/>
          <w:szCs w:val="30"/>
        </w:rPr>
        <w:t>改造、更新和报废管理</w:t>
      </w:r>
    </w:p>
    <w:p>
      <w:pPr>
        <w:spacing w:line="360" w:lineRule="auto"/>
        <w:ind w:firstLine="600" w:firstLineChars="200"/>
        <w:rPr>
          <w:rFonts w:ascii="ˎ̥" w:hAnsi="ˎ̥"/>
          <w:kern w:val="0"/>
          <w:sz w:val="30"/>
          <w:szCs w:val="30"/>
        </w:rPr>
      </w:pPr>
      <w:r>
        <w:rPr>
          <w:rFonts w:hint="eastAsia" w:ascii="ˎ̥" w:hAnsi="ˎ̥"/>
          <w:kern w:val="0"/>
          <w:sz w:val="30"/>
          <w:szCs w:val="30"/>
        </w:rPr>
        <w:t>本章的修订主要是结构性调整，并在报废管理中增加了“虽未达到使用年限，但因业务形态变化，不适应当前使用需求且无他用的设备。”作为报废条件之一。删除了企业财务管理或资产管理方面不宜在标准中表述的内容。</w:t>
      </w:r>
    </w:p>
    <w:p>
      <w:pPr>
        <w:numPr>
          <w:ilvl w:val="0"/>
          <w:numId w:val="4"/>
        </w:numPr>
        <w:spacing w:line="360" w:lineRule="auto"/>
        <w:ind w:firstLine="560"/>
        <w:rPr>
          <w:rFonts w:ascii="ˎ̥" w:hAnsi="ˎ̥"/>
          <w:kern w:val="0"/>
          <w:sz w:val="30"/>
          <w:szCs w:val="30"/>
        </w:rPr>
      </w:pPr>
      <w:r>
        <w:rPr>
          <w:rFonts w:hint="eastAsia" w:ascii="ˎ̥" w:hAnsi="ˎ̥"/>
          <w:kern w:val="0"/>
          <w:sz w:val="30"/>
          <w:szCs w:val="30"/>
        </w:rPr>
        <w:t>技术培训管理</w:t>
      </w:r>
    </w:p>
    <w:p>
      <w:pPr>
        <w:spacing w:line="360" w:lineRule="auto"/>
        <w:ind w:firstLine="600" w:firstLineChars="200"/>
        <w:rPr>
          <w:rFonts w:ascii="ˎ̥" w:hAnsi="ˎ̥"/>
          <w:kern w:val="0"/>
          <w:sz w:val="30"/>
          <w:szCs w:val="30"/>
        </w:rPr>
      </w:pPr>
      <w:r>
        <w:rPr>
          <w:rFonts w:hint="eastAsia" w:ascii="ˎ̥" w:hAnsi="ˎ̥"/>
          <w:kern w:val="0"/>
          <w:sz w:val="30"/>
          <w:szCs w:val="30"/>
        </w:rPr>
        <w:t>本章的修订主要是结合调研情况，在培训方面对设备供应方提出了要求，并补充了设备操作人员经培训后应达到的技能要求，即：熟悉所操作自动分拣设备的功能和结构，以及可分拣物品的规格要求</w:t>
      </w:r>
      <w:r>
        <w:rPr>
          <w:rFonts w:hint="eastAsia" w:ascii="ˎ̥" w:hAnsi="ˎ̥"/>
          <w:kern w:val="0"/>
          <w:sz w:val="30"/>
          <w:szCs w:val="30"/>
          <w:lang w:eastAsia="zh-CN"/>
        </w:rPr>
        <w:t>，</w:t>
      </w:r>
      <w:r>
        <w:rPr>
          <w:rFonts w:hint="eastAsia" w:ascii="ˎ̥" w:hAnsi="ˎ̥"/>
          <w:kern w:val="0"/>
          <w:sz w:val="30"/>
          <w:szCs w:val="30"/>
        </w:rPr>
        <w:t>能处理自动分拣设备使用中物件卡塞等各类常见故障。</w:t>
      </w:r>
    </w:p>
    <w:p>
      <w:pPr>
        <w:numPr>
          <w:ilvl w:val="0"/>
          <w:numId w:val="4"/>
        </w:numPr>
        <w:spacing w:line="360" w:lineRule="auto"/>
        <w:ind w:firstLine="560"/>
        <w:rPr>
          <w:rFonts w:ascii="ˎ̥" w:hAnsi="ˎ̥"/>
          <w:kern w:val="0"/>
          <w:sz w:val="30"/>
          <w:szCs w:val="30"/>
        </w:rPr>
      </w:pPr>
      <w:r>
        <w:rPr>
          <w:rFonts w:hint="eastAsia" w:ascii="ˎ̥" w:hAnsi="ˎ̥"/>
          <w:kern w:val="0"/>
          <w:sz w:val="30"/>
          <w:szCs w:val="30"/>
        </w:rPr>
        <w:t>档案管理</w:t>
      </w:r>
    </w:p>
    <w:p>
      <w:pPr>
        <w:spacing w:line="360" w:lineRule="auto"/>
        <w:ind w:left="560"/>
        <w:rPr>
          <w:rFonts w:ascii="ˎ̥" w:hAnsi="ˎ̥"/>
          <w:kern w:val="0"/>
          <w:sz w:val="30"/>
          <w:szCs w:val="30"/>
        </w:rPr>
      </w:pPr>
      <w:r>
        <w:rPr>
          <w:rFonts w:hint="eastAsia" w:ascii="ˎ̥" w:hAnsi="ˎ̥"/>
          <w:kern w:val="0"/>
          <w:sz w:val="30"/>
          <w:szCs w:val="30"/>
        </w:rPr>
        <w:t>原标准中本章内容适用，在表述上进行了修改完善。</w:t>
      </w:r>
    </w:p>
    <w:p>
      <w:pPr>
        <w:rPr>
          <w:rFonts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r>
        <w:rPr>
          <w:rFonts w:hint="eastAsia"/>
          <w:sz w:val="32"/>
          <w:szCs w:val="32"/>
          <w:lang w:val="en-US" w:eastAsia="zh-CN"/>
        </w:rPr>
        <w:t>（三）新旧行业标准水平的对比</w:t>
      </w:r>
    </w:p>
    <w:p>
      <w:pPr>
        <w:pStyle w:val="13"/>
        <w:tabs>
          <w:tab w:val="center" w:pos="4201"/>
          <w:tab w:val="right" w:leader="dot" w:pos="9298"/>
        </w:tabs>
        <w:ind w:firstLine="600"/>
        <w:rPr>
          <w:rFonts w:ascii="ˎ̥" w:hAnsi="ˎ̥"/>
          <w:sz w:val="30"/>
          <w:szCs w:val="30"/>
        </w:rPr>
      </w:pPr>
      <w:r>
        <w:rPr>
          <w:rFonts w:hint="eastAsia" w:ascii="ˎ̥" w:hAnsi="ˎ̥"/>
          <w:sz w:val="30"/>
          <w:szCs w:val="30"/>
        </w:rPr>
        <w:t>《自动分拣设备管理要求》WB/T 1041-2012中部分条款表述及章节结构不符合GB/T 1.1-2020 《标准化工作导则 第1部分：标准化文件的结构和起草规则》。本次修订依据GB/T 1.1-2020的要求，对标准的结构进了调整，对不恰当的表述进行了修改完善。除结构调整和编辑性改动外，主要技术变化如下：</w:t>
      </w:r>
    </w:p>
    <w:p>
      <w:pPr>
        <w:pStyle w:val="14"/>
        <w:rPr>
          <w:sz w:val="30"/>
          <w:szCs w:val="30"/>
        </w:rPr>
      </w:pPr>
      <w:r>
        <w:rPr>
          <w:rFonts w:hint="eastAsia"/>
          <w:sz w:val="30"/>
          <w:szCs w:val="30"/>
        </w:rPr>
        <w:t>增加了“规范性引用文件”（见第2章）；</w:t>
      </w:r>
    </w:p>
    <w:p>
      <w:pPr>
        <w:pStyle w:val="14"/>
        <w:rPr>
          <w:sz w:val="30"/>
          <w:szCs w:val="30"/>
        </w:rPr>
      </w:pPr>
      <w:r>
        <w:rPr>
          <w:rFonts w:hint="eastAsia"/>
          <w:sz w:val="30"/>
          <w:szCs w:val="30"/>
        </w:rPr>
        <w:t>更改了“自动分拣设备”“供件装置”的定义（见3.3、3.4，2012版的2.1、2.3），增加了“分拣”、“分拣设备”的术语和定义（见3.1、3.2）；</w:t>
      </w:r>
    </w:p>
    <w:p>
      <w:pPr>
        <w:pStyle w:val="14"/>
        <w:rPr>
          <w:sz w:val="30"/>
          <w:szCs w:val="30"/>
        </w:rPr>
      </w:pPr>
      <w:r>
        <w:rPr>
          <w:rFonts w:hint="eastAsia"/>
          <w:sz w:val="30"/>
          <w:szCs w:val="30"/>
        </w:rPr>
        <w:t>删除了规章制度列项中的“操作规程”和“检查与奖惩制度”（见2012版的3.3）；</w:t>
      </w:r>
    </w:p>
    <w:p>
      <w:pPr>
        <w:pStyle w:val="14"/>
        <w:rPr>
          <w:sz w:val="30"/>
          <w:szCs w:val="30"/>
        </w:rPr>
      </w:pPr>
      <w:r>
        <w:rPr>
          <w:rFonts w:hint="eastAsia"/>
          <w:sz w:val="30"/>
          <w:szCs w:val="30"/>
        </w:rPr>
        <w:t xml:space="preserve">增加了对人员、环保、安全等基础管理的内容（见4.3、4.4，4.5）； </w:t>
      </w:r>
    </w:p>
    <w:p>
      <w:pPr>
        <w:pStyle w:val="14"/>
        <w:rPr>
          <w:sz w:val="30"/>
          <w:szCs w:val="30"/>
        </w:rPr>
      </w:pPr>
      <w:r>
        <w:rPr>
          <w:rFonts w:hint="eastAsia"/>
          <w:sz w:val="30"/>
          <w:szCs w:val="30"/>
        </w:rPr>
        <w:t>删除了基础管理中设备事故分类等相关内容（见2012版的3.4、3.5）；</w:t>
      </w:r>
    </w:p>
    <w:p>
      <w:pPr>
        <w:pStyle w:val="14"/>
        <w:rPr>
          <w:sz w:val="30"/>
          <w:szCs w:val="30"/>
        </w:rPr>
      </w:pPr>
      <w:r>
        <w:rPr>
          <w:rFonts w:hint="eastAsia"/>
          <w:sz w:val="30"/>
          <w:szCs w:val="30"/>
        </w:rPr>
        <w:t>增加了编制设备购置规划应考虑的因素（见5.2.3）；</w:t>
      </w:r>
    </w:p>
    <w:p>
      <w:pPr>
        <w:pStyle w:val="14"/>
        <w:rPr>
          <w:sz w:val="30"/>
          <w:szCs w:val="30"/>
        </w:rPr>
      </w:pPr>
      <w:r>
        <w:rPr>
          <w:rFonts w:hint="eastAsia"/>
          <w:sz w:val="30"/>
          <w:szCs w:val="30"/>
        </w:rPr>
        <w:t>增加了设备购置中对设备供应方的要求（见5.3，2012版的4.3）</w:t>
      </w:r>
    </w:p>
    <w:p>
      <w:pPr>
        <w:pStyle w:val="14"/>
        <w:rPr>
          <w:sz w:val="30"/>
          <w:szCs w:val="30"/>
        </w:rPr>
      </w:pPr>
      <w:r>
        <w:rPr>
          <w:rFonts w:hint="eastAsia"/>
          <w:sz w:val="30"/>
          <w:szCs w:val="30"/>
        </w:rPr>
        <w:t>删除了前期管理中设备投产后的相关要求（见2012版的4.4.7）；</w:t>
      </w:r>
    </w:p>
    <w:p>
      <w:pPr>
        <w:pStyle w:val="14"/>
        <w:rPr>
          <w:sz w:val="30"/>
          <w:szCs w:val="30"/>
        </w:rPr>
      </w:pPr>
      <w:r>
        <w:rPr>
          <w:rFonts w:hint="eastAsia"/>
          <w:sz w:val="30"/>
          <w:szCs w:val="30"/>
        </w:rPr>
        <w:t>删除了使用管理中对人员技能的要求（见2012版的5.2、5.4）；</w:t>
      </w:r>
    </w:p>
    <w:p>
      <w:pPr>
        <w:pStyle w:val="14"/>
        <w:rPr>
          <w:sz w:val="30"/>
          <w:szCs w:val="30"/>
        </w:rPr>
      </w:pPr>
      <w:r>
        <w:rPr>
          <w:rFonts w:hint="eastAsia"/>
          <w:sz w:val="30"/>
          <w:szCs w:val="30"/>
        </w:rPr>
        <w:t>增加了维护和修理管理的基本要求（见7.1，2012版的6.1、6.2、6.3）；</w:t>
      </w:r>
    </w:p>
    <w:p>
      <w:pPr>
        <w:pStyle w:val="14"/>
        <w:rPr>
          <w:sz w:val="30"/>
          <w:szCs w:val="30"/>
        </w:rPr>
      </w:pPr>
      <w:r>
        <w:rPr>
          <w:rFonts w:hint="eastAsia"/>
          <w:sz w:val="30"/>
          <w:szCs w:val="30"/>
        </w:rPr>
        <w:t>增加了设备维护中对易损件的相关要求（见7.1.4）；</w:t>
      </w:r>
    </w:p>
    <w:p>
      <w:pPr>
        <w:pStyle w:val="14"/>
        <w:rPr>
          <w:sz w:val="30"/>
          <w:szCs w:val="30"/>
        </w:rPr>
      </w:pPr>
      <w:r>
        <w:rPr>
          <w:rFonts w:hint="eastAsia"/>
          <w:sz w:val="30"/>
          <w:szCs w:val="30"/>
        </w:rPr>
        <w:t>增加了设备修理中停机检查和确认维修计划的要求（见7.3.1）；</w:t>
      </w:r>
    </w:p>
    <w:p>
      <w:pPr>
        <w:pStyle w:val="14"/>
        <w:rPr>
          <w:sz w:val="30"/>
          <w:szCs w:val="30"/>
        </w:rPr>
      </w:pPr>
      <w:r>
        <w:rPr>
          <w:rFonts w:hint="eastAsia"/>
          <w:sz w:val="30"/>
          <w:szCs w:val="30"/>
        </w:rPr>
        <w:t>增加了自动分拣设备报废的条件（见8.2.1，2012版的7.4.2）；</w:t>
      </w:r>
    </w:p>
    <w:p>
      <w:pPr>
        <w:pStyle w:val="14"/>
        <w:rPr>
          <w:sz w:val="30"/>
          <w:szCs w:val="30"/>
        </w:rPr>
      </w:pPr>
      <w:r>
        <w:rPr>
          <w:rFonts w:hint="eastAsia"/>
          <w:sz w:val="30"/>
          <w:szCs w:val="30"/>
          <w:lang w:val="en-US" w:eastAsia="zh-CN"/>
        </w:rPr>
        <w:t>删除了设备报废后与资产相关的内容（见2012版的7.4.3、7.4.4）；</w:t>
      </w:r>
    </w:p>
    <w:p>
      <w:pPr>
        <w:pStyle w:val="14"/>
        <w:rPr>
          <w:sz w:val="30"/>
          <w:szCs w:val="30"/>
        </w:rPr>
      </w:pPr>
      <w:r>
        <w:rPr>
          <w:rFonts w:hint="eastAsia"/>
          <w:sz w:val="30"/>
          <w:szCs w:val="30"/>
        </w:rPr>
        <w:t>增加了技术培训管理中对设备供应方的要求（见9.1、9.2，2012版的8.1、8.2）。</w:t>
      </w:r>
    </w:p>
    <w:p>
      <w:pPr>
        <w:ind w:firstLine="600" w:firstLineChars="200"/>
        <w:rPr>
          <w:rFonts w:ascii="宋体" w:hAnsi="Times New Roman" w:cs="Times New Roman"/>
          <w:kern w:val="0"/>
          <w:sz w:val="30"/>
          <w:szCs w:val="30"/>
        </w:rPr>
      </w:pPr>
      <w:r>
        <w:rPr>
          <w:rFonts w:hint="eastAsia" w:ascii="宋体" w:hAnsi="Times New Roman" w:eastAsia="宋体" w:cs="Times New Roman"/>
          <w:kern w:val="0"/>
          <w:sz w:val="30"/>
          <w:szCs w:val="30"/>
        </w:rPr>
        <w:t>修订后的标准更加符合</w:t>
      </w:r>
      <w:r>
        <w:rPr>
          <w:rFonts w:hint="eastAsia" w:ascii="ˎ̥" w:hAnsi="ˎ̥"/>
          <w:sz w:val="30"/>
          <w:szCs w:val="30"/>
        </w:rPr>
        <w:t>GB/T 1.1-2020的规则，标准</w:t>
      </w:r>
      <w:r>
        <w:rPr>
          <w:rFonts w:hint="eastAsia" w:ascii="宋体" w:hAnsi="Times New Roman" w:eastAsia="宋体" w:cs="Times New Roman"/>
          <w:kern w:val="0"/>
          <w:sz w:val="30"/>
          <w:szCs w:val="30"/>
        </w:rPr>
        <w:t>文本更加规范，技术内容更加适应当下自动分拣设备市场快速发展的需求。</w:t>
      </w:r>
    </w:p>
    <w:p>
      <w:pPr>
        <w:ind w:firstLine="640" w:firstLineChars="200"/>
        <w:rPr>
          <w:rFonts w:ascii="黑体" w:hAnsi="黑体" w:eastAsia="黑体" w:cs="黑体"/>
          <w:sz w:val="32"/>
          <w:szCs w:val="32"/>
        </w:rPr>
      </w:pPr>
      <w:r>
        <w:rPr>
          <w:rFonts w:hint="eastAsia" w:ascii="黑体" w:hAnsi="黑体" w:eastAsia="黑体" w:cs="黑体"/>
          <w:sz w:val="32"/>
          <w:szCs w:val="32"/>
        </w:rPr>
        <w:t>三、标准验证情况</w:t>
      </w:r>
    </w:p>
    <w:p>
      <w:pPr>
        <w:ind w:firstLine="600" w:firstLineChars="200"/>
        <w:rPr>
          <w:rFonts w:ascii="楷体" w:hAnsi="楷体" w:eastAsia="楷体" w:cs="楷体"/>
          <w:sz w:val="32"/>
          <w:szCs w:val="32"/>
        </w:rPr>
      </w:pPr>
      <w:r>
        <w:rPr>
          <w:rFonts w:hint="eastAsia" w:ascii="宋体" w:hAnsi="宋体"/>
          <w:sz w:val="30"/>
          <w:szCs w:val="30"/>
        </w:rPr>
        <w:t>标准主要技术内容是标准工作组在综合分析前期调研情况以及收集的相关文献资料的基础上，对原版标准内容进行的修改，并在标准工作组内部进行了征求意见。标准中关于自动分拣设备的基础管理、前期管理、使用管理、维护和修理管理、改造、更新和报废管理、培训管理、档案管理等内容与调研的自动分拣设备生产、使用企业的实际情况相符。后期将扩大调研范围，并组织专家论证，进一步对标准内容进行验证。</w:t>
      </w:r>
    </w:p>
    <w:p>
      <w:pPr>
        <w:ind w:firstLine="640" w:firstLineChars="200"/>
        <w:rPr>
          <w:rFonts w:ascii="黑体" w:hAnsi="黑体" w:eastAsia="黑体" w:cs="黑体"/>
          <w:sz w:val="32"/>
          <w:szCs w:val="32"/>
        </w:rPr>
      </w:pPr>
      <w:r>
        <w:rPr>
          <w:rFonts w:hint="eastAsia" w:ascii="黑体" w:hAnsi="黑体" w:eastAsia="黑体" w:cs="黑体"/>
          <w:sz w:val="32"/>
          <w:szCs w:val="32"/>
        </w:rPr>
        <w:t>四、采用国际标准和国外先进标准的程度，以及与国际、国外同类标准水平的对比情况</w:t>
      </w:r>
    </w:p>
    <w:p>
      <w:pPr>
        <w:ind w:firstLine="600" w:firstLineChars="200"/>
        <w:rPr>
          <w:rFonts w:ascii="宋体" w:hAnsi="宋体"/>
          <w:sz w:val="30"/>
          <w:szCs w:val="30"/>
        </w:rPr>
      </w:pPr>
      <w:r>
        <w:rPr>
          <w:rFonts w:hint="eastAsia" w:ascii="宋体" w:hAnsi="宋体"/>
          <w:sz w:val="30"/>
          <w:szCs w:val="30"/>
        </w:rPr>
        <w:t>无。</w:t>
      </w:r>
    </w:p>
    <w:p>
      <w:pPr>
        <w:numPr>
          <w:ilvl w:val="0"/>
          <w:numId w:val="6"/>
        </w:numPr>
        <w:ind w:firstLine="640" w:firstLineChars="200"/>
        <w:rPr>
          <w:rFonts w:ascii="黑体" w:hAnsi="黑体" w:eastAsia="黑体" w:cs="黑体"/>
          <w:sz w:val="32"/>
          <w:szCs w:val="32"/>
        </w:rPr>
      </w:pPr>
      <w:r>
        <w:rPr>
          <w:rFonts w:hint="eastAsia" w:ascii="黑体" w:hAnsi="黑体" w:eastAsia="黑体" w:cs="黑体"/>
          <w:sz w:val="32"/>
          <w:szCs w:val="32"/>
        </w:rPr>
        <w:t>与有关的现行法律、法规和标准的关系</w:t>
      </w:r>
    </w:p>
    <w:p>
      <w:pPr>
        <w:ind w:firstLine="600" w:firstLineChars="200"/>
        <w:rPr>
          <w:rFonts w:ascii="宋体" w:hAnsi="宋体"/>
          <w:sz w:val="30"/>
          <w:szCs w:val="30"/>
        </w:rPr>
      </w:pPr>
      <w:r>
        <w:rPr>
          <w:rFonts w:hint="eastAsia" w:ascii="宋体" w:hAnsi="宋体"/>
          <w:sz w:val="30"/>
          <w:szCs w:val="30"/>
        </w:rPr>
        <w:t>本文件符合现行有关法律、法规、规章及标准要求。</w:t>
      </w:r>
    </w:p>
    <w:p>
      <w:pPr>
        <w:numPr>
          <w:ilvl w:val="0"/>
          <w:numId w:val="6"/>
        </w:numPr>
        <w:ind w:firstLine="640" w:firstLineChars="200"/>
        <w:rPr>
          <w:rFonts w:ascii="黑体" w:hAnsi="黑体" w:eastAsia="黑体" w:cs="黑体"/>
          <w:sz w:val="32"/>
          <w:szCs w:val="32"/>
        </w:rPr>
      </w:pPr>
      <w:r>
        <w:rPr>
          <w:rFonts w:hint="eastAsia" w:ascii="黑体" w:hAnsi="黑体" w:eastAsia="黑体" w:cs="黑体"/>
          <w:sz w:val="32"/>
          <w:szCs w:val="32"/>
        </w:rPr>
        <w:t>重大分歧意见的处理经过和依据</w:t>
      </w:r>
    </w:p>
    <w:p>
      <w:pPr>
        <w:ind w:firstLine="600" w:firstLineChars="200"/>
        <w:rPr>
          <w:rFonts w:ascii="宋体" w:hAnsi="宋体"/>
          <w:sz w:val="30"/>
          <w:szCs w:val="30"/>
        </w:rPr>
      </w:pPr>
      <w:r>
        <w:rPr>
          <w:rFonts w:hint="eastAsia" w:ascii="宋体" w:hAnsi="宋体"/>
          <w:sz w:val="30"/>
          <w:szCs w:val="30"/>
        </w:rPr>
        <w:t>无。</w:t>
      </w:r>
    </w:p>
    <w:p>
      <w:pPr>
        <w:ind w:firstLine="640" w:firstLineChars="200"/>
        <w:rPr>
          <w:rFonts w:ascii="黑体" w:hAnsi="黑体" w:eastAsia="黑体" w:cs="黑体"/>
          <w:sz w:val="32"/>
          <w:szCs w:val="32"/>
        </w:rPr>
      </w:pPr>
      <w:r>
        <w:rPr>
          <w:rFonts w:hint="eastAsia" w:ascii="黑体" w:hAnsi="黑体" w:eastAsia="黑体" w:cs="黑体"/>
          <w:sz w:val="32"/>
          <w:szCs w:val="32"/>
        </w:rPr>
        <w:t>七、实施建议</w:t>
      </w:r>
    </w:p>
    <w:p>
      <w:pPr>
        <w:ind w:firstLine="600" w:firstLineChars="200"/>
        <w:rPr>
          <w:rFonts w:ascii="宋体" w:hAnsi="宋体"/>
          <w:sz w:val="30"/>
          <w:szCs w:val="30"/>
        </w:rPr>
      </w:pPr>
      <w:r>
        <w:rPr>
          <w:rFonts w:hint="eastAsia" w:ascii="宋体" w:hAnsi="宋体"/>
          <w:sz w:val="30"/>
          <w:szCs w:val="30"/>
        </w:rPr>
        <w:t>1、建议通过“物流标准大讲堂”、会议论坛、标准公众号等多渠道对标准进行宣贯。</w:t>
      </w:r>
    </w:p>
    <w:p>
      <w:pPr>
        <w:ind w:firstLine="600" w:firstLineChars="200"/>
        <w:rPr>
          <w:rFonts w:ascii="宋体" w:hAnsi="宋体"/>
          <w:sz w:val="30"/>
          <w:szCs w:val="30"/>
        </w:rPr>
      </w:pPr>
      <w:r>
        <w:rPr>
          <w:rFonts w:hint="eastAsia" w:ascii="宋体" w:hAnsi="宋体"/>
          <w:sz w:val="30"/>
          <w:szCs w:val="30"/>
        </w:rPr>
        <w:t>2、建议在本文件的宣贯应用过程中，除加强对物流企业的宣贯外，也可走进烟草企业、相关制造企业进行宣贯，加大对本文件的宣贯力度，促进相关企业实施应用本文件。</w:t>
      </w:r>
    </w:p>
    <w:p>
      <w:pPr>
        <w:ind w:firstLine="640" w:firstLineChars="200"/>
        <w:rPr>
          <w:rFonts w:ascii="黑体" w:hAnsi="黑体" w:eastAsia="黑体" w:cs="黑体"/>
          <w:sz w:val="32"/>
          <w:szCs w:val="32"/>
        </w:rPr>
      </w:pPr>
      <w:r>
        <w:rPr>
          <w:rFonts w:hint="eastAsia" w:ascii="黑体" w:hAnsi="黑体" w:eastAsia="黑体" w:cs="黑体"/>
          <w:sz w:val="32"/>
          <w:szCs w:val="32"/>
        </w:rPr>
        <w:t>八、废止现行有关标准的建议</w:t>
      </w:r>
    </w:p>
    <w:p>
      <w:pPr>
        <w:ind w:firstLine="600" w:firstLineChars="200"/>
        <w:rPr>
          <w:rFonts w:ascii="宋体" w:hAnsi="宋体"/>
          <w:sz w:val="30"/>
          <w:szCs w:val="30"/>
        </w:rPr>
      </w:pPr>
      <w:r>
        <w:rPr>
          <w:rFonts w:hint="eastAsia" w:ascii="宋体" w:hAnsi="宋体"/>
          <w:sz w:val="30"/>
          <w:szCs w:val="30"/>
        </w:rPr>
        <w:t>无。</w:t>
      </w:r>
    </w:p>
    <w:p>
      <w:pPr>
        <w:ind w:firstLine="640" w:firstLineChars="200"/>
        <w:rPr>
          <w:rFonts w:ascii="黑体" w:hAnsi="黑体" w:eastAsia="黑体" w:cs="黑体"/>
          <w:sz w:val="32"/>
          <w:szCs w:val="32"/>
        </w:rPr>
      </w:pPr>
      <w:r>
        <w:rPr>
          <w:rFonts w:hint="eastAsia" w:ascii="黑体" w:hAnsi="黑体" w:eastAsia="黑体" w:cs="黑体"/>
          <w:sz w:val="32"/>
          <w:szCs w:val="32"/>
        </w:rPr>
        <w:t>九、其他应当说明的事项</w:t>
      </w:r>
    </w:p>
    <w:p>
      <w:pPr>
        <w:ind w:firstLine="600" w:firstLineChars="200"/>
        <w:rPr>
          <w:rFonts w:ascii="宋体" w:hAnsi="宋体"/>
          <w:sz w:val="30"/>
          <w:szCs w:val="30"/>
        </w:rPr>
      </w:pPr>
      <w:r>
        <w:rPr>
          <w:rFonts w:hint="eastAsia" w:ascii="宋体" w:hAnsi="宋体"/>
          <w:sz w:val="30"/>
          <w:szCs w:val="30"/>
        </w:rPr>
        <w:t>无。</w:t>
      </w:r>
    </w:p>
    <w:p/>
    <w:p/>
    <w:p>
      <w:pPr>
        <w:pStyle w:val="4"/>
        <w:jc w:val="right"/>
        <w:rPr>
          <w:sz w:val="30"/>
          <w:szCs w:val="30"/>
        </w:rPr>
      </w:pPr>
      <w:r>
        <w:rPr>
          <w:rFonts w:hint="eastAsia"/>
          <w:sz w:val="30"/>
          <w:szCs w:val="30"/>
        </w:rPr>
        <w:t>《自动分拣设备管理要求》行业标准修订工作组</w:t>
      </w:r>
    </w:p>
    <w:p>
      <w:pPr>
        <w:pStyle w:val="4"/>
        <w:wordWrap w:val="0"/>
        <w:jc w:val="right"/>
        <w:rPr>
          <w:sz w:val="30"/>
          <w:szCs w:val="30"/>
        </w:rPr>
        <w:sectPr>
          <w:headerReference r:id="rId5" w:type="first"/>
          <w:footerReference r:id="rId8" w:type="first"/>
          <w:headerReference r:id="rId3" w:type="default"/>
          <w:footerReference r:id="rId6" w:type="default"/>
          <w:headerReference r:id="rId4" w:type="even"/>
          <w:footerReference r:id="rId7" w:type="even"/>
          <w:pgSz w:w="11907" w:h="16839"/>
          <w:pgMar w:top="1418" w:right="1134" w:bottom="1134" w:left="1418" w:header="1418" w:footer="851" w:gutter="0"/>
          <w:cols w:space="720" w:num="1"/>
          <w:docGrid w:type="lines" w:linePitch="312" w:charSpace="0"/>
        </w:sectPr>
      </w:pPr>
      <w:r>
        <w:rPr>
          <w:rFonts w:hint="eastAsia"/>
          <w:sz w:val="30"/>
          <w:szCs w:val="30"/>
        </w:rPr>
        <w:t xml:space="preserve">二〇二三年十月      </w:t>
      </w:r>
    </w:p>
    <w:p>
      <w:pPr>
        <w:pStyle w:val="4"/>
        <w:jc w:val="left"/>
        <w:rPr>
          <w:sz w:val="30"/>
          <w:szCs w:val="30"/>
        </w:rPr>
      </w:pPr>
      <w:r>
        <w:rPr>
          <w:rFonts w:hint="eastAsia"/>
          <w:sz w:val="30"/>
          <w:szCs w:val="30"/>
        </w:rPr>
        <w:t>附件1</w:t>
      </w:r>
    </w:p>
    <w:p>
      <w:pPr>
        <w:pStyle w:val="2"/>
        <w:jc w:val="center"/>
        <w:rPr>
          <w:sz w:val="36"/>
          <w:szCs w:val="36"/>
        </w:rPr>
      </w:pPr>
      <w:r>
        <w:rPr>
          <w:rFonts w:hint="eastAsia"/>
          <w:sz w:val="36"/>
          <w:szCs w:val="36"/>
        </w:rPr>
        <w:t>《自动分拣设备管理要求》调研问卷</w:t>
      </w:r>
    </w:p>
    <w:p>
      <w:pPr>
        <w:rPr>
          <w:sz w:val="28"/>
          <w:szCs w:val="28"/>
          <w:u w:val="single"/>
        </w:rPr>
      </w:pPr>
      <w:r>
        <w:rPr>
          <w:rFonts w:hint="eastAsia"/>
          <w:sz w:val="28"/>
          <w:szCs w:val="28"/>
        </w:rPr>
        <w:t>单位：</w:t>
      </w:r>
      <w:r>
        <w:rPr>
          <w:rFonts w:hint="eastAsia"/>
          <w:sz w:val="28"/>
          <w:szCs w:val="28"/>
          <w:u w:val="single"/>
        </w:rPr>
        <w:t xml:space="preserve">                                              </w:t>
      </w:r>
    </w:p>
    <w:p>
      <w:pPr>
        <w:rPr>
          <w:sz w:val="28"/>
          <w:szCs w:val="28"/>
          <w:u w:val="single"/>
        </w:rPr>
      </w:pPr>
      <w:r>
        <w:rPr>
          <w:rFonts w:hint="eastAsia"/>
          <w:sz w:val="28"/>
          <w:szCs w:val="28"/>
        </w:rPr>
        <w:t>联系人：</w:t>
      </w:r>
      <w:r>
        <w:rPr>
          <w:rFonts w:hint="eastAsia"/>
          <w:sz w:val="28"/>
          <w:szCs w:val="28"/>
          <w:u w:val="single"/>
        </w:rPr>
        <w:t xml:space="preserve">             </w:t>
      </w:r>
      <w:r>
        <w:rPr>
          <w:rFonts w:hint="eastAsia"/>
          <w:sz w:val="28"/>
          <w:szCs w:val="28"/>
        </w:rPr>
        <w:t xml:space="preserve">     联系方式：</w:t>
      </w:r>
      <w:r>
        <w:rPr>
          <w:rFonts w:hint="eastAsia"/>
          <w:sz w:val="28"/>
          <w:szCs w:val="28"/>
          <w:u w:val="single"/>
        </w:rPr>
        <w:t xml:space="preserve">                </w:t>
      </w:r>
    </w:p>
    <w:p>
      <w:pPr>
        <w:rPr>
          <w:sz w:val="28"/>
          <w:szCs w:val="28"/>
          <w:u w:val="single"/>
        </w:rPr>
      </w:pPr>
    </w:p>
    <w:p>
      <w:pPr>
        <w:numPr>
          <w:ilvl w:val="0"/>
          <w:numId w:val="7"/>
        </w:numPr>
        <w:rPr>
          <w:sz w:val="24"/>
        </w:rPr>
      </w:pPr>
      <w:r>
        <w:rPr>
          <w:rFonts w:hint="eastAsia"/>
          <w:sz w:val="24"/>
        </w:rPr>
        <w:t>对自动分拣设备的管理应关注哪些方面？</w:t>
      </w:r>
    </w:p>
    <w:p>
      <w:pPr>
        <w:rPr>
          <w:sz w:val="24"/>
        </w:rPr>
      </w:pPr>
      <w:r>
        <w:rPr>
          <w:rFonts w:hint="eastAsia"/>
          <w:sz w:val="24"/>
        </w:rPr>
        <w:t xml:space="preserve">□前期规划设计  □购买    </w:t>
      </w:r>
      <w:r>
        <w:rPr>
          <w:rFonts w:hint="eastAsia"/>
          <w:sz w:val="24"/>
        </w:rPr>
        <w:sym w:font="Wingdings 2" w:char="00A3"/>
      </w:r>
      <w:r>
        <w:rPr>
          <w:rFonts w:hint="eastAsia"/>
          <w:sz w:val="24"/>
        </w:rPr>
        <w:t xml:space="preserve">安装调试和验收    □使用规范  </w:t>
      </w:r>
    </w:p>
    <w:p>
      <w:pPr>
        <w:rPr>
          <w:sz w:val="24"/>
        </w:rPr>
      </w:pPr>
      <w:r>
        <w:rPr>
          <w:rFonts w:hint="eastAsia"/>
          <w:sz w:val="24"/>
        </w:rPr>
        <w:sym w:font="Wingdings 2" w:char="00A3"/>
      </w:r>
      <w:r>
        <w:rPr>
          <w:rFonts w:hint="eastAsia"/>
          <w:sz w:val="24"/>
        </w:rPr>
        <w:t xml:space="preserve">维护和修理    </w:t>
      </w:r>
      <w:r>
        <w:rPr>
          <w:rFonts w:hint="eastAsia"/>
          <w:sz w:val="24"/>
        </w:rPr>
        <w:sym w:font="Wingdings 2" w:char="00A3"/>
      </w:r>
      <w:r>
        <w:rPr>
          <w:rFonts w:hint="eastAsia"/>
          <w:sz w:val="24"/>
        </w:rPr>
        <w:t>改造、更新和报废  □技术培训 □档案管理</w:t>
      </w:r>
    </w:p>
    <w:p>
      <w:pPr>
        <w:spacing w:after="468" w:afterLines="150"/>
        <w:rPr>
          <w:sz w:val="24"/>
        </w:rPr>
      </w:pPr>
      <w:r>
        <w:rPr>
          <w:rFonts w:hint="eastAsia"/>
          <w:sz w:val="24"/>
        </w:rPr>
        <w:t>其他</w:t>
      </w:r>
      <w:r>
        <w:rPr>
          <w:rFonts w:hint="eastAsia"/>
          <w:sz w:val="24"/>
          <w:u w:val="single"/>
        </w:rPr>
        <w:t xml:space="preserve">                                                                          </w:t>
      </w:r>
      <w:r>
        <w:rPr>
          <w:rFonts w:hint="eastAsia"/>
          <w:sz w:val="24"/>
        </w:rPr>
        <w:t xml:space="preserve"> </w:t>
      </w:r>
    </w:p>
    <w:p>
      <w:pPr>
        <w:numPr>
          <w:ilvl w:val="0"/>
          <w:numId w:val="7"/>
        </w:numPr>
        <w:rPr>
          <w:sz w:val="24"/>
        </w:rPr>
      </w:pPr>
      <w:r>
        <w:rPr>
          <w:rFonts w:hint="eastAsia"/>
          <w:sz w:val="24"/>
        </w:rPr>
        <w:t>贵司在购置，安装、调试和验收，使用，维护和修理，改造、更新和报废自动分拣设备过程中，有无相应的制度或规程，是否参考了一些标准？（如有，请提供标准名称及编号）</w:t>
      </w:r>
    </w:p>
    <w:p>
      <w:pPr>
        <w:rPr>
          <w:sz w:val="24"/>
          <w:u w:val="single"/>
        </w:rPr>
      </w:pPr>
      <w:r>
        <w:rPr>
          <w:rFonts w:hint="eastAsia"/>
          <w:sz w:val="24"/>
          <w:u w:val="single"/>
        </w:rPr>
        <w:t xml:space="preserve">                                                                              </w:t>
      </w:r>
    </w:p>
    <w:p>
      <w:pPr>
        <w:spacing w:after="468" w:afterLines="150"/>
        <w:rPr>
          <w:sz w:val="24"/>
          <w:u w:val="single"/>
        </w:rPr>
      </w:pPr>
      <w:r>
        <w:rPr>
          <w:rFonts w:hint="eastAsia"/>
          <w:sz w:val="24"/>
          <w:u w:val="single"/>
        </w:rPr>
        <w:t xml:space="preserve">                                                                       </w:t>
      </w:r>
    </w:p>
    <w:p>
      <w:pPr>
        <w:numPr>
          <w:ilvl w:val="0"/>
          <w:numId w:val="7"/>
        </w:numPr>
        <w:rPr>
          <w:sz w:val="24"/>
        </w:rPr>
      </w:pPr>
      <w:r>
        <w:rPr>
          <w:rFonts w:hint="eastAsia"/>
          <w:sz w:val="24"/>
        </w:rPr>
        <w:t>贵司在购置自动分拣设备前，如何进行规划设计和设备选型？主要考虑了哪些因素？</w:t>
      </w:r>
    </w:p>
    <w:p>
      <w:pPr>
        <w:rPr>
          <w:sz w:val="24"/>
          <w:u w:val="single"/>
        </w:rPr>
      </w:pPr>
      <w:r>
        <w:rPr>
          <w:rFonts w:hint="eastAsia"/>
          <w:sz w:val="24"/>
          <w:u w:val="single"/>
        </w:rPr>
        <w:t xml:space="preserve">                                                                         </w:t>
      </w:r>
    </w:p>
    <w:p>
      <w:pPr>
        <w:rPr>
          <w:sz w:val="24"/>
          <w:u w:val="single"/>
        </w:rPr>
      </w:pPr>
      <w:r>
        <w:rPr>
          <w:rFonts w:hint="eastAsia"/>
          <w:sz w:val="24"/>
          <w:u w:val="single"/>
        </w:rPr>
        <w:t xml:space="preserve">                                                                       </w:t>
      </w:r>
    </w:p>
    <w:p>
      <w:pPr>
        <w:spacing w:after="468" w:afterLines="150"/>
        <w:rPr>
          <w:sz w:val="24"/>
          <w:u w:val="single"/>
        </w:rPr>
      </w:pPr>
      <w:r>
        <w:rPr>
          <w:rFonts w:hint="eastAsia"/>
          <w:sz w:val="24"/>
          <w:u w:val="single"/>
        </w:rPr>
        <w:t xml:space="preserve">                                                                       </w:t>
      </w:r>
    </w:p>
    <w:p>
      <w:pPr>
        <w:numPr>
          <w:ilvl w:val="0"/>
          <w:numId w:val="7"/>
        </w:numPr>
        <w:rPr>
          <w:sz w:val="24"/>
        </w:rPr>
      </w:pPr>
      <w:r>
        <w:rPr>
          <w:rFonts w:hint="eastAsia"/>
          <w:sz w:val="24"/>
        </w:rPr>
        <w:t>购置自动分拣设备时，对设备提供方是否有其他约定的要求，比如售后方面，人员培训方面？</w:t>
      </w:r>
    </w:p>
    <w:p>
      <w:pPr>
        <w:rPr>
          <w:sz w:val="24"/>
          <w:u w:val="single"/>
        </w:rPr>
      </w:pPr>
      <w:r>
        <w:rPr>
          <w:rFonts w:hint="eastAsia"/>
          <w:sz w:val="24"/>
          <w:u w:val="single"/>
        </w:rPr>
        <w:t xml:space="preserve">                                                                             </w:t>
      </w:r>
    </w:p>
    <w:p>
      <w:pPr>
        <w:spacing w:after="468" w:afterLines="150"/>
        <w:rPr>
          <w:sz w:val="24"/>
          <w:u w:val="single"/>
        </w:rPr>
      </w:pPr>
      <w:r>
        <w:rPr>
          <w:rFonts w:hint="eastAsia"/>
          <w:sz w:val="24"/>
          <w:u w:val="single"/>
        </w:rPr>
        <w:t xml:space="preserve">                                                                      </w:t>
      </w:r>
    </w:p>
    <w:p>
      <w:pPr>
        <w:numPr>
          <w:ilvl w:val="0"/>
          <w:numId w:val="7"/>
        </w:numPr>
        <w:rPr>
          <w:sz w:val="24"/>
        </w:rPr>
      </w:pPr>
      <w:r>
        <w:rPr>
          <w:rFonts w:hint="eastAsia"/>
          <w:sz w:val="24"/>
        </w:rPr>
        <w:t>贵司对自动分拣设备的安装、调试和验收是如何开展的？以什么为标准进行安装，安装调试后符合哪些要求才能验收？安装、调试和验收过程中，如何进行监督管理，参与人员有哪些等。（需详细了解验收内容及要求）</w:t>
      </w:r>
    </w:p>
    <w:p>
      <w:pPr>
        <w:rPr>
          <w:sz w:val="24"/>
          <w:u w:val="single"/>
        </w:rPr>
      </w:pPr>
      <w:r>
        <w:rPr>
          <w:rFonts w:hint="eastAsia"/>
          <w:sz w:val="24"/>
          <w:u w:val="single"/>
        </w:rPr>
        <w:t xml:space="preserve">                                                                          </w:t>
      </w:r>
    </w:p>
    <w:p>
      <w:pPr>
        <w:rPr>
          <w:sz w:val="24"/>
          <w:u w:val="single"/>
        </w:rPr>
      </w:pPr>
      <w:r>
        <w:rPr>
          <w:rFonts w:hint="eastAsia"/>
          <w:sz w:val="24"/>
          <w:u w:val="single"/>
        </w:rPr>
        <w:t xml:space="preserve">                                                                        </w:t>
      </w:r>
    </w:p>
    <w:p>
      <w:pPr>
        <w:spacing w:after="468" w:afterLines="150"/>
        <w:rPr>
          <w:sz w:val="24"/>
          <w:u w:val="single"/>
        </w:rPr>
      </w:pPr>
      <w:r>
        <w:rPr>
          <w:rFonts w:hint="eastAsia"/>
          <w:sz w:val="24"/>
          <w:u w:val="single"/>
        </w:rPr>
        <w:t xml:space="preserve">                                                                          </w:t>
      </w:r>
    </w:p>
    <w:p>
      <w:pPr>
        <w:numPr>
          <w:ilvl w:val="0"/>
          <w:numId w:val="7"/>
        </w:numPr>
        <w:rPr>
          <w:sz w:val="24"/>
        </w:rPr>
      </w:pPr>
      <w:r>
        <w:rPr>
          <w:rFonts w:hint="eastAsia"/>
          <w:sz w:val="24"/>
        </w:rPr>
        <w:t xml:space="preserve"> 自动分拣设备日常使用中，如何进行管理？是否制定了详细的管理制度，是否方便提供制度内容。</w:t>
      </w:r>
    </w:p>
    <w:p>
      <w:pPr>
        <w:rPr>
          <w:sz w:val="24"/>
          <w:u w:val="single"/>
        </w:rPr>
      </w:pPr>
      <w:r>
        <w:rPr>
          <w:rFonts w:hint="eastAsia"/>
          <w:sz w:val="24"/>
          <w:u w:val="single"/>
        </w:rPr>
        <w:t xml:space="preserve">                                                                          </w:t>
      </w:r>
    </w:p>
    <w:p>
      <w:pPr>
        <w:spacing w:after="468" w:afterLines="150"/>
        <w:rPr>
          <w:sz w:val="24"/>
          <w:u w:val="single"/>
        </w:rPr>
      </w:pPr>
      <w:r>
        <w:rPr>
          <w:rFonts w:hint="eastAsia"/>
          <w:sz w:val="24"/>
          <w:u w:val="single"/>
        </w:rPr>
        <w:t xml:space="preserve">                                                                           </w:t>
      </w:r>
    </w:p>
    <w:p>
      <w:pPr>
        <w:numPr>
          <w:ilvl w:val="0"/>
          <w:numId w:val="7"/>
        </w:numPr>
        <w:rPr>
          <w:sz w:val="24"/>
        </w:rPr>
      </w:pPr>
      <w:r>
        <w:rPr>
          <w:rFonts w:hint="eastAsia"/>
          <w:sz w:val="24"/>
        </w:rPr>
        <w:t>自动分拣设备的维护修理工作是贵司自己承担，还是委托第三方承担，若委托第三方承担，双方就设备的维护修理有无共同认可的作业内容或技术标准？</w:t>
      </w:r>
    </w:p>
    <w:p>
      <w:pPr>
        <w:rPr>
          <w:sz w:val="24"/>
        </w:rPr>
      </w:pPr>
      <w:r>
        <w:rPr>
          <w:rFonts w:hint="eastAsia"/>
          <w:sz w:val="24"/>
          <w:u w:val="single"/>
        </w:rPr>
        <w:t xml:space="preserve">                                                                        </w:t>
      </w:r>
    </w:p>
    <w:p>
      <w:pPr>
        <w:numPr>
          <w:ilvl w:val="0"/>
          <w:numId w:val="7"/>
        </w:numPr>
        <w:rPr>
          <w:sz w:val="24"/>
        </w:rPr>
      </w:pPr>
      <w:r>
        <w:rPr>
          <w:rFonts w:hint="eastAsia"/>
          <w:sz w:val="24"/>
        </w:rPr>
        <w:t>自动分拣设备的维护工作如何开展？是否制定了相关制度？是否对设备维护进行了分级，若进行了分级，每级维护的主要作业内容由哪些？</w:t>
      </w:r>
    </w:p>
    <w:p>
      <w:pPr>
        <w:rPr>
          <w:sz w:val="24"/>
          <w:u w:val="single"/>
        </w:rPr>
      </w:pPr>
      <w:r>
        <w:rPr>
          <w:rFonts w:hint="eastAsia"/>
          <w:sz w:val="24"/>
          <w:u w:val="single"/>
        </w:rPr>
        <w:t xml:space="preserve">                                                                          </w:t>
      </w:r>
    </w:p>
    <w:p>
      <w:pPr>
        <w:spacing w:after="468" w:afterLines="150"/>
        <w:rPr>
          <w:sz w:val="24"/>
          <w:u w:val="single"/>
        </w:rPr>
      </w:pPr>
      <w:r>
        <w:rPr>
          <w:rFonts w:hint="eastAsia"/>
          <w:sz w:val="24"/>
          <w:u w:val="single"/>
        </w:rPr>
        <w:t xml:space="preserve">                                                                         </w:t>
      </w:r>
    </w:p>
    <w:p>
      <w:pPr>
        <w:numPr>
          <w:ilvl w:val="0"/>
          <w:numId w:val="7"/>
        </w:numPr>
        <w:rPr>
          <w:sz w:val="24"/>
        </w:rPr>
      </w:pPr>
      <w:r>
        <w:rPr>
          <w:rFonts w:hint="eastAsia"/>
          <w:sz w:val="24"/>
        </w:rPr>
        <w:t>如何发现或者判定自动分拣设备需要修理？若判定设备需要修理，如何开展修理工作？有无相关的管理制度？设备的修理是否分日常修理、大修等级别？</w:t>
      </w:r>
    </w:p>
    <w:p>
      <w:pPr>
        <w:rPr>
          <w:sz w:val="24"/>
          <w:u w:val="single"/>
        </w:rPr>
      </w:pPr>
      <w:r>
        <w:rPr>
          <w:rFonts w:hint="eastAsia"/>
          <w:sz w:val="24"/>
          <w:u w:val="single"/>
        </w:rPr>
        <w:t xml:space="preserve">                                                                         </w:t>
      </w:r>
    </w:p>
    <w:p>
      <w:pPr>
        <w:spacing w:after="468" w:afterLines="150"/>
        <w:rPr>
          <w:sz w:val="24"/>
        </w:rPr>
      </w:pPr>
      <w:r>
        <w:rPr>
          <w:rFonts w:hint="eastAsia"/>
          <w:sz w:val="24"/>
          <w:u w:val="single"/>
        </w:rPr>
        <w:t xml:space="preserve">                                                                       </w:t>
      </w:r>
    </w:p>
    <w:p>
      <w:pPr>
        <w:numPr>
          <w:ilvl w:val="0"/>
          <w:numId w:val="7"/>
        </w:numPr>
        <w:rPr>
          <w:sz w:val="24"/>
        </w:rPr>
      </w:pPr>
      <w:r>
        <w:rPr>
          <w:rFonts w:hint="eastAsia"/>
          <w:sz w:val="24"/>
        </w:rPr>
        <w:t>是否对原有的自动分拣系统进行过改造或更新？是什么原因促使贵司要进行改造、更新？设备的改造、更新应关注哪些要素？因设备更新所更换下来的设备，如何处置的？</w:t>
      </w:r>
    </w:p>
    <w:p>
      <w:pPr>
        <w:rPr>
          <w:sz w:val="24"/>
          <w:u w:val="single"/>
        </w:rPr>
      </w:pPr>
      <w:r>
        <w:rPr>
          <w:rFonts w:hint="eastAsia"/>
          <w:sz w:val="24"/>
          <w:u w:val="single"/>
        </w:rPr>
        <w:t xml:space="preserve">                                                                          </w:t>
      </w:r>
    </w:p>
    <w:p>
      <w:pPr>
        <w:spacing w:after="468" w:afterLines="150"/>
        <w:rPr>
          <w:sz w:val="24"/>
          <w:u w:val="single"/>
        </w:rPr>
      </w:pPr>
      <w:r>
        <w:rPr>
          <w:rFonts w:hint="eastAsia"/>
          <w:sz w:val="24"/>
          <w:u w:val="single"/>
        </w:rPr>
        <w:t xml:space="preserve">                                                                        </w:t>
      </w:r>
    </w:p>
    <w:p>
      <w:pPr>
        <w:numPr>
          <w:ilvl w:val="0"/>
          <w:numId w:val="7"/>
        </w:numPr>
        <w:rPr>
          <w:sz w:val="24"/>
        </w:rPr>
      </w:pPr>
      <w:r>
        <w:rPr>
          <w:rFonts w:hint="eastAsia"/>
          <w:sz w:val="24"/>
        </w:rPr>
        <w:t>自动分拣设备报废的条件是什么？如何进行报废？</w:t>
      </w:r>
    </w:p>
    <w:p>
      <w:pPr>
        <w:rPr>
          <w:sz w:val="24"/>
          <w:u w:val="single"/>
        </w:rPr>
      </w:pPr>
      <w:r>
        <w:rPr>
          <w:rFonts w:hint="eastAsia"/>
          <w:sz w:val="24"/>
          <w:u w:val="single"/>
        </w:rPr>
        <w:t xml:space="preserve">                                                                      </w:t>
      </w:r>
    </w:p>
    <w:p>
      <w:pPr>
        <w:spacing w:after="468" w:afterLines="150"/>
        <w:rPr>
          <w:sz w:val="24"/>
          <w:u w:val="single"/>
        </w:rPr>
      </w:pPr>
      <w:r>
        <w:rPr>
          <w:rFonts w:hint="eastAsia"/>
          <w:sz w:val="24"/>
          <w:u w:val="single"/>
        </w:rPr>
        <w:t xml:space="preserve">                                                                     </w:t>
      </w:r>
    </w:p>
    <w:p>
      <w:pPr>
        <w:numPr>
          <w:ilvl w:val="0"/>
          <w:numId w:val="7"/>
        </w:numPr>
        <w:rPr>
          <w:sz w:val="24"/>
        </w:rPr>
      </w:pPr>
      <w:r>
        <w:rPr>
          <w:rFonts w:hint="eastAsia"/>
          <w:sz w:val="24"/>
        </w:rPr>
        <w:t>自动分拣设备从安装到使用到报废的全生命周期中，涉及了哪些人员（如操作人员，管理人员，维修人员），对各类人员有无特定的技能要求？是否对相关人员进行技术培训，主要有哪些方面的培训？</w:t>
      </w:r>
    </w:p>
    <w:p>
      <w:pPr>
        <w:rPr>
          <w:sz w:val="24"/>
          <w:u w:val="single"/>
        </w:rPr>
      </w:pPr>
      <w:r>
        <w:rPr>
          <w:rFonts w:hint="eastAsia"/>
          <w:sz w:val="24"/>
          <w:u w:val="single"/>
        </w:rPr>
        <w:t xml:space="preserve">                                                                      </w:t>
      </w:r>
    </w:p>
    <w:p>
      <w:pPr>
        <w:spacing w:after="468" w:afterLines="150"/>
        <w:rPr>
          <w:sz w:val="24"/>
          <w:u w:val="single"/>
        </w:rPr>
      </w:pPr>
      <w:r>
        <w:rPr>
          <w:rFonts w:hint="eastAsia"/>
          <w:sz w:val="24"/>
          <w:u w:val="single"/>
        </w:rPr>
        <w:t xml:space="preserve">                                                                        </w:t>
      </w:r>
    </w:p>
    <w:p>
      <w:pPr>
        <w:numPr>
          <w:ilvl w:val="0"/>
          <w:numId w:val="7"/>
        </w:numPr>
        <w:rPr>
          <w:sz w:val="24"/>
        </w:rPr>
      </w:pPr>
      <w:r>
        <w:rPr>
          <w:rFonts w:hint="eastAsia"/>
          <w:sz w:val="24"/>
        </w:rPr>
        <w:t>对自动分拣设备是否进行建档和编号，档案内主要记录的内容有哪些？是否方便提供一些用以记录的表格模板。</w:t>
      </w:r>
    </w:p>
    <w:p>
      <w:pPr>
        <w:rPr>
          <w:sz w:val="24"/>
          <w:u w:val="single"/>
        </w:rPr>
      </w:pPr>
      <w:r>
        <w:rPr>
          <w:rFonts w:hint="eastAsia"/>
          <w:sz w:val="24"/>
          <w:u w:val="single"/>
        </w:rPr>
        <w:t xml:space="preserve">                                                                           </w:t>
      </w:r>
    </w:p>
    <w:p>
      <w:pPr>
        <w:spacing w:after="468" w:afterLines="150"/>
        <w:rPr>
          <w:sz w:val="24"/>
          <w:u w:val="single"/>
        </w:rPr>
      </w:pPr>
      <w:r>
        <w:rPr>
          <w:rFonts w:hint="eastAsia"/>
          <w:sz w:val="24"/>
          <w:u w:val="single"/>
        </w:rPr>
        <w:t xml:space="preserve">                                                                      </w:t>
      </w:r>
    </w:p>
    <w:p>
      <w:pPr>
        <w:numPr>
          <w:ilvl w:val="0"/>
          <w:numId w:val="7"/>
        </w:numPr>
        <w:rPr>
          <w:sz w:val="24"/>
        </w:rPr>
      </w:pPr>
      <w:r>
        <w:rPr>
          <w:rFonts w:hint="eastAsia"/>
          <w:sz w:val="24"/>
        </w:rPr>
        <w:t>在实际的设备使用和设备管理中，是否存在因缺乏标准和规范导致设备的安装、调试和验收出现分歧，或设备使用和管理不得当的问题？</w:t>
      </w:r>
    </w:p>
    <w:p>
      <w:pPr>
        <w:pStyle w:val="4"/>
        <w:jc w:val="left"/>
        <w:rPr>
          <w:szCs w:val="24"/>
          <w:u w:val="single"/>
        </w:rPr>
        <w:sectPr>
          <w:pgSz w:w="11907" w:h="16839"/>
          <w:pgMar w:top="1418" w:right="1134" w:bottom="1134" w:left="1418" w:header="1418" w:footer="851" w:gutter="0"/>
          <w:cols w:space="720" w:num="1"/>
          <w:docGrid w:type="lines" w:linePitch="312" w:charSpace="0"/>
        </w:sectPr>
      </w:pPr>
      <w:r>
        <w:rPr>
          <w:rFonts w:hint="eastAsia"/>
          <w:szCs w:val="24"/>
          <w:u w:val="single"/>
        </w:rPr>
        <w:t xml:space="preserve">                                                                        </w:t>
      </w:r>
    </w:p>
    <w:p>
      <w:pPr>
        <w:pStyle w:val="4"/>
        <w:jc w:val="left"/>
        <w:rPr>
          <w:sz w:val="30"/>
          <w:szCs w:val="30"/>
        </w:rPr>
      </w:pPr>
      <w:r>
        <w:rPr>
          <w:rFonts w:hint="eastAsia"/>
          <w:sz w:val="30"/>
          <w:szCs w:val="30"/>
        </w:rPr>
        <w:t>附件2</w:t>
      </w:r>
    </w:p>
    <w:p>
      <w:pPr>
        <w:pStyle w:val="4"/>
        <w:jc w:val="left"/>
        <w:rPr>
          <w:sz w:val="30"/>
          <w:szCs w:val="30"/>
        </w:rPr>
      </w:pPr>
    </w:p>
    <w:p>
      <w:pPr>
        <w:spacing w:before="240" w:after="60"/>
        <w:jc w:val="center"/>
        <w:outlineLvl w:val="0"/>
        <w:rPr>
          <w:rFonts w:ascii="Cambria" w:hAnsi="Cambria"/>
          <w:b/>
          <w:bCs/>
          <w:sz w:val="32"/>
          <w:szCs w:val="32"/>
        </w:rPr>
      </w:pPr>
      <w:r>
        <w:rPr>
          <w:rFonts w:hint="eastAsia" w:ascii="Cambria" w:hAnsi="Cambria"/>
          <w:b/>
          <w:bCs/>
          <w:color w:val="auto"/>
          <w:sz w:val="32"/>
          <w:szCs w:val="32"/>
        </w:rPr>
        <w:t>《自动分拣设备管理要求》</w:t>
      </w:r>
      <w:r>
        <w:rPr>
          <w:rFonts w:hint="eastAsia" w:ascii="Cambria" w:hAnsi="Cambria"/>
          <w:b/>
          <w:bCs/>
          <w:sz w:val="32"/>
          <w:szCs w:val="32"/>
        </w:rPr>
        <w:t>行业标准</w:t>
      </w:r>
    </w:p>
    <w:p>
      <w:pPr>
        <w:pStyle w:val="4"/>
        <w:jc w:val="center"/>
        <w:rPr>
          <w:b/>
          <w:bCs/>
          <w:sz w:val="32"/>
          <w:szCs w:val="32"/>
        </w:rPr>
      </w:pPr>
      <w:r>
        <w:rPr>
          <w:rFonts w:hint="eastAsia"/>
          <w:b/>
          <w:bCs/>
          <w:sz w:val="32"/>
          <w:szCs w:val="32"/>
        </w:rPr>
        <w:t>调研情况说明</w:t>
      </w:r>
    </w:p>
    <w:p>
      <w:pPr>
        <w:pStyle w:val="4"/>
        <w:rPr>
          <w:sz w:val="28"/>
          <w:szCs w:val="28"/>
        </w:rPr>
      </w:pPr>
      <w:r>
        <w:rPr>
          <w:rFonts w:hint="eastAsia"/>
          <w:sz w:val="28"/>
          <w:szCs w:val="28"/>
        </w:rPr>
        <w:t>一、调研背景</w:t>
      </w:r>
    </w:p>
    <w:p>
      <w:pPr>
        <w:pStyle w:val="4"/>
        <w:rPr>
          <w:sz w:val="28"/>
          <w:szCs w:val="28"/>
        </w:rPr>
      </w:pPr>
      <w:r>
        <w:rPr>
          <w:rFonts w:hint="eastAsia"/>
          <w:sz w:val="28"/>
          <w:szCs w:val="28"/>
        </w:rPr>
        <w:t>为确保标准中关于自动分拣设备管理的内容科学合理，使标准能切实起到规范指导作用，标准工作组针对标准内容编制了调研问卷（见附件1），并围绕调研问卷中的相关问题对与自动分拣设备相关的10家企业进行了调研（调研企业及调研方式见表2.1）。重点了解：企业在对自动分拣设备进行管理时，将哪些方面作为管理重点；在购置、安装、调试和验收，使用，维护和修理，改造、更新和报废自动分拣设备各环节的做法和相应的管理制度；如何开展自动分拣设备的维护修理工作；如何判定设备需修理、报废、改造和更新；相关人员的技能要求和培训管理；设备档案管理等内容。</w:t>
      </w:r>
    </w:p>
    <w:p>
      <w:pPr>
        <w:pStyle w:val="4"/>
        <w:jc w:val="center"/>
        <w:rPr>
          <w:rFonts w:ascii="黑体" w:hAnsi="黑体" w:eastAsia="黑体" w:cs="黑体"/>
          <w:szCs w:val="24"/>
        </w:rPr>
      </w:pPr>
      <w:r>
        <w:rPr>
          <w:rFonts w:hint="eastAsia" w:ascii="黑体" w:hAnsi="黑体" w:eastAsia="黑体" w:cs="黑体"/>
          <w:szCs w:val="24"/>
        </w:rPr>
        <w:t>表2.1 调研企业名单及调研方式</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3676"/>
        <w:gridCol w:w="2235"/>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Align w:val="center"/>
          </w:tcPr>
          <w:p>
            <w:pPr>
              <w:pStyle w:val="4"/>
              <w:ind w:firstLine="0"/>
              <w:jc w:val="center"/>
              <w:rPr>
                <w:b/>
                <w:bCs/>
                <w:szCs w:val="24"/>
              </w:rPr>
            </w:pPr>
            <w:r>
              <w:rPr>
                <w:rFonts w:hint="eastAsia"/>
                <w:b/>
                <w:bCs/>
                <w:szCs w:val="24"/>
              </w:rPr>
              <w:t>序号</w:t>
            </w:r>
          </w:p>
        </w:tc>
        <w:tc>
          <w:tcPr>
            <w:tcW w:w="4199" w:type="dxa"/>
            <w:vAlign w:val="center"/>
          </w:tcPr>
          <w:p>
            <w:pPr>
              <w:pStyle w:val="4"/>
              <w:ind w:firstLine="0"/>
              <w:jc w:val="center"/>
              <w:rPr>
                <w:b/>
                <w:bCs/>
                <w:szCs w:val="24"/>
              </w:rPr>
            </w:pPr>
            <w:r>
              <w:rPr>
                <w:rFonts w:hint="eastAsia"/>
                <w:b/>
                <w:bCs/>
                <w:szCs w:val="24"/>
              </w:rPr>
              <w:t>单位名称</w:t>
            </w:r>
          </w:p>
        </w:tc>
        <w:tc>
          <w:tcPr>
            <w:tcW w:w="2505" w:type="dxa"/>
            <w:vAlign w:val="center"/>
          </w:tcPr>
          <w:p>
            <w:pPr>
              <w:pStyle w:val="4"/>
              <w:ind w:firstLine="0"/>
              <w:jc w:val="center"/>
              <w:rPr>
                <w:b/>
                <w:bCs/>
                <w:szCs w:val="24"/>
              </w:rPr>
            </w:pPr>
            <w:r>
              <w:rPr>
                <w:rFonts w:hint="eastAsia"/>
                <w:b/>
                <w:bCs/>
                <w:szCs w:val="24"/>
              </w:rPr>
              <w:t>单位性质</w:t>
            </w:r>
          </w:p>
        </w:tc>
        <w:tc>
          <w:tcPr>
            <w:tcW w:w="2030" w:type="dxa"/>
            <w:vAlign w:val="center"/>
          </w:tcPr>
          <w:p>
            <w:pPr>
              <w:pStyle w:val="4"/>
              <w:ind w:firstLine="0"/>
              <w:jc w:val="center"/>
              <w:rPr>
                <w:b/>
                <w:bCs/>
                <w:szCs w:val="24"/>
              </w:rPr>
            </w:pPr>
            <w:r>
              <w:rPr>
                <w:rFonts w:hint="eastAsia"/>
                <w:b/>
                <w:bCs/>
                <w:szCs w:val="24"/>
              </w:rPr>
              <w:t>调研方式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Align w:val="center"/>
          </w:tcPr>
          <w:p>
            <w:pPr>
              <w:pStyle w:val="4"/>
              <w:numPr>
                <w:ilvl w:val="0"/>
                <w:numId w:val="8"/>
              </w:numPr>
              <w:jc w:val="center"/>
              <w:rPr>
                <w:szCs w:val="24"/>
              </w:rPr>
            </w:pPr>
          </w:p>
        </w:tc>
        <w:tc>
          <w:tcPr>
            <w:tcW w:w="4199" w:type="dxa"/>
            <w:vAlign w:val="center"/>
          </w:tcPr>
          <w:p>
            <w:pPr>
              <w:pStyle w:val="4"/>
              <w:spacing w:line="240" w:lineRule="auto"/>
              <w:ind w:firstLine="0"/>
              <w:rPr>
                <w:szCs w:val="24"/>
              </w:rPr>
            </w:pPr>
            <w:r>
              <w:rPr>
                <w:rFonts w:hint="eastAsia" w:ascii="宋体" w:hAnsi="宋体"/>
                <w:szCs w:val="24"/>
              </w:rPr>
              <w:t>襄阳顺丰分拨中心</w:t>
            </w:r>
          </w:p>
        </w:tc>
        <w:tc>
          <w:tcPr>
            <w:tcW w:w="2505" w:type="dxa"/>
            <w:vAlign w:val="center"/>
          </w:tcPr>
          <w:p>
            <w:pPr>
              <w:pStyle w:val="4"/>
              <w:spacing w:line="240" w:lineRule="auto"/>
              <w:ind w:firstLine="0"/>
              <w:rPr>
                <w:szCs w:val="24"/>
              </w:rPr>
            </w:pPr>
            <w:r>
              <w:rPr>
                <w:rFonts w:hint="eastAsia"/>
                <w:szCs w:val="24"/>
              </w:rPr>
              <w:t>物流企业</w:t>
            </w:r>
          </w:p>
        </w:tc>
        <w:tc>
          <w:tcPr>
            <w:tcW w:w="2030" w:type="dxa"/>
            <w:vAlign w:val="center"/>
          </w:tcPr>
          <w:p>
            <w:pPr>
              <w:pStyle w:val="4"/>
              <w:spacing w:line="240" w:lineRule="auto"/>
              <w:ind w:firstLine="0"/>
              <w:rPr>
                <w:szCs w:val="24"/>
              </w:rPr>
            </w:pPr>
            <w:r>
              <w:rPr>
                <w:rFonts w:hint="eastAsia"/>
                <w:szCs w:val="24"/>
              </w:rPr>
              <w:t>现场调研、座谈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Align w:val="center"/>
          </w:tcPr>
          <w:p>
            <w:pPr>
              <w:pStyle w:val="4"/>
              <w:numPr>
                <w:ilvl w:val="0"/>
                <w:numId w:val="8"/>
              </w:numPr>
              <w:jc w:val="center"/>
              <w:rPr>
                <w:szCs w:val="24"/>
              </w:rPr>
            </w:pPr>
          </w:p>
        </w:tc>
        <w:tc>
          <w:tcPr>
            <w:tcW w:w="4199" w:type="dxa"/>
            <w:vAlign w:val="center"/>
          </w:tcPr>
          <w:p>
            <w:pPr>
              <w:pStyle w:val="4"/>
              <w:spacing w:line="240" w:lineRule="auto"/>
              <w:ind w:firstLine="0"/>
              <w:rPr>
                <w:szCs w:val="24"/>
              </w:rPr>
            </w:pPr>
            <w:r>
              <w:rPr>
                <w:rFonts w:hint="eastAsia" w:ascii="宋体" w:hAnsi="宋体"/>
                <w:szCs w:val="24"/>
              </w:rPr>
              <w:t>京东亚洲一号（武汉）仓库新洲枢纽分拣中心</w:t>
            </w:r>
          </w:p>
        </w:tc>
        <w:tc>
          <w:tcPr>
            <w:tcW w:w="2505" w:type="dxa"/>
            <w:vAlign w:val="center"/>
          </w:tcPr>
          <w:p>
            <w:pPr>
              <w:pStyle w:val="4"/>
              <w:spacing w:line="240" w:lineRule="auto"/>
              <w:ind w:firstLine="0"/>
              <w:rPr>
                <w:szCs w:val="24"/>
              </w:rPr>
            </w:pPr>
            <w:r>
              <w:rPr>
                <w:rFonts w:hint="eastAsia"/>
                <w:szCs w:val="24"/>
              </w:rPr>
              <w:t>物流企业</w:t>
            </w:r>
          </w:p>
        </w:tc>
        <w:tc>
          <w:tcPr>
            <w:tcW w:w="2030" w:type="dxa"/>
            <w:vAlign w:val="center"/>
          </w:tcPr>
          <w:p>
            <w:pPr>
              <w:pStyle w:val="4"/>
              <w:spacing w:line="240" w:lineRule="auto"/>
              <w:ind w:firstLine="0"/>
              <w:rPr>
                <w:szCs w:val="24"/>
              </w:rPr>
            </w:pPr>
            <w:r>
              <w:rPr>
                <w:rFonts w:hint="eastAsia"/>
                <w:szCs w:val="24"/>
              </w:rPr>
              <w:t>现场调研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37" w:type="dxa"/>
            <w:vAlign w:val="center"/>
          </w:tcPr>
          <w:p>
            <w:pPr>
              <w:pStyle w:val="4"/>
              <w:numPr>
                <w:ilvl w:val="0"/>
                <w:numId w:val="8"/>
              </w:numPr>
              <w:jc w:val="center"/>
              <w:rPr>
                <w:szCs w:val="24"/>
              </w:rPr>
            </w:pPr>
          </w:p>
        </w:tc>
        <w:tc>
          <w:tcPr>
            <w:tcW w:w="4199" w:type="dxa"/>
            <w:vAlign w:val="center"/>
          </w:tcPr>
          <w:p>
            <w:pPr>
              <w:pStyle w:val="4"/>
              <w:spacing w:line="240" w:lineRule="auto"/>
              <w:ind w:firstLine="0"/>
              <w:rPr>
                <w:szCs w:val="24"/>
              </w:rPr>
            </w:pPr>
            <w:r>
              <w:rPr>
                <w:rFonts w:hint="eastAsia" w:ascii="宋体" w:hAnsi="宋体"/>
                <w:szCs w:val="24"/>
              </w:rPr>
              <w:t>湖北普罗格科技股份有限公司</w:t>
            </w:r>
          </w:p>
        </w:tc>
        <w:tc>
          <w:tcPr>
            <w:tcW w:w="2505" w:type="dxa"/>
            <w:vAlign w:val="center"/>
          </w:tcPr>
          <w:p>
            <w:pPr>
              <w:pStyle w:val="4"/>
              <w:spacing w:line="240" w:lineRule="auto"/>
              <w:ind w:firstLine="0"/>
              <w:rPr>
                <w:szCs w:val="24"/>
              </w:rPr>
            </w:pPr>
            <w:r>
              <w:rPr>
                <w:rFonts w:hint="eastAsia"/>
                <w:szCs w:val="24"/>
              </w:rPr>
              <w:t>智慧物流方案提供方</w:t>
            </w:r>
          </w:p>
        </w:tc>
        <w:tc>
          <w:tcPr>
            <w:tcW w:w="2030" w:type="dxa"/>
            <w:vAlign w:val="center"/>
          </w:tcPr>
          <w:p>
            <w:pPr>
              <w:pStyle w:val="4"/>
              <w:spacing w:line="240" w:lineRule="auto"/>
              <w:ind w:firstLine="0"/>
              <w:rPr>
                <w:szCs w:val="24"/>
              </w:rPr>
            </w:pPr>
            <w:r>
              <w:rPr>
                <w:rFonts w:hint="eastAsia"/>
                <w:szCs w:val="24"/>
              </w:rPr>
              <w:t>问卷调研、现场调研座谈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37" w:type="dxa"/>
            <w:vAlign w:val="center"/>
          </w:tcPr>
          <w:p>
            <w:pPr>
              <w:pStyle w:val="4"/>
              <w:numPr>
                <w:ilvl w:val="0"/>
                <w:numId w:val="8"/>
              </w:numPr>
              <w:jc w:val="center"/>
              <w:rPr>
                <w:szCs w:val="24"/>
              </w:rPr>
            </w:pPr>
          </w:p>
        </w:tc>
        <w:tc>
          <w:tcPr>
            <w:tcW w:w="4199" w:type="dxa"/>
            <w:vAlign w:val="center"/>
          </w:tcPr>
          <w:p>
            <w:pPr>
              <w:pStyle w:val="4"/>
              <w:spacing w:line="240" w:lineRule="auto"/>
              <w:ind w:firstLine="0"/>
              <w:rPr>
                <w:szCs w:val="24"/>
              </w:rPr>
            </w:pPr>
            <w:r>
              <w:rPr>
                <w:rFonts w:hint="eastAsia"/>
                <w:szCs w:val="24"/>
              </w:rPr>
              <w:t>良品铺子智慧物流中心</w:t>
            </w:r>
          </w:p>
        </w:tc>
        <w:tc>
          <w:tcPr>
            <w:tcW w:w="2505" w:type="dxa"/>
            <w:vAlign w:val="center"/>
          </w:tcPr>
          <w:p>
            <w:pPr>
              <w:pStyle w:val="4"/>
              <w:spacing w:line="240" w:lineRule="auto"/>
              <w:ind w:firstLine="0"/>
              <w:rPr>
                <w:szCs w:val="24"/>
              </w:rPr>
            </w:pPr>
            <w:r>
              <w:rPr>
                <w:rFonts w:hint="eastAsia"/>
                <w:szCs w:val="24"/>
              </w:rPr>
              <w:t>物流企业</w:t>
            </w:r>
          </w:p>
        </w:tc>
        <w:tc>
          <w:tcPr>
            <w:tcW w:w="2030" w:type="dxa"/>
            <w:vAlign w:val="center"/>
          </w:tcPr>
          <w:p>
            <w:pPr>
              <w:pStyle w:val="4"/>
              <w:spacing w:line="240" w:lineRule="auto"/>
              <w:ind w:firstLine="0"/>
              <w:rPr>
                <w:szCs w:val="24"/>
              </w:rPr>
            </w:pPr>
            <w:r>
              <w:rPr>
                <w:rFonts w:hint="eastAsia"/>
                <w:szCs w:val="24"/>
              </w:rPr>
              <w:t>现场调研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Align w:val="center"/>
          </w:tcPr>
          <w:p>
            <w:pPr>
              <w:pStyle w:val="4"/>
              <w:numPr>
                <w:ilvl w:val="0"/>
                <w:numId w:val="8"/>
              </w:numPr>
              <w:jc w:val="center"/>
              <w:rPr>
                <w:szCs w:val="24"/>
              </w:rPr>
            </w:pPr>
          </w:p>
        </w:tc>
        <w:tc>
          <w:tcPr>
            <w:tcW w:w="4199" w:type="dxa"/>
            <w:vAlign w:val="center"/>
          </w:tcPr>
          <w:p>
            <w:pPr>
              <w:pStyle w:val="4"/>
              <w:spacing w:line="240" w:lineRule="auto"/>
              <w:ind w:firstLine="0"/>
              <w:rPr>
                <w:szCs w:val="24"/>
              </w:rPr>
            </w:pPr>
            <w:r>
              <w:rPr>
                <w:rFonts w:hint="eastAsia" w:ascii="宋体" w:hAnsi="宋体"/>
                <w:szCs w:val="24"/>
              </w:rPr>
              <w:t>湖北省烟草公司襄阳市公司物流中心</w:t>
            </w:r>
          </w:p>
        </w:tc>
        <w:tc>
          <w:tcPr>
            <w:tcW w:w="2505" w:type="dxa"/>
            <w:vAlign w:val="center"/>
          </w:tcPr>
          <w:p>
            <w:pPr>
              <w:pStyle w:val="4"/>
              <w:spacing w:line="240" w:lineRule="auto"/>
              <w:ind w:firstLine="0"/>
              <w:rPr>
                <w:szCs w:val="24"/>
              </w:rPr>
            </w:pPr>
            <w:r>
              <w:rPr>
                <w:rFonts w:hint="eastAsia"/>
                <w:szCs w:val="24"/>
              </w:rPr>
              <w:t>烟草物流企业</w:t>
            </w:r>
          </w:p>
        </w:tc>
        <w:tc>
          <w:tcPr>
            <w:tcW w:w="2030" w:type="dxa"/>
            <w:vAlign w:val="center"/>
          </w:tcPr>
          <w:p>
            <w:pPr>
              <w:pStyle w:val="4"/>
              <w:spacing w:line="240" w:lineRule="auto"/>
              <w:ind w:firstLine="0"/>
              <w:rPr>
                <w:szCs w:val="24"/>
              </w:rPr>
            </w:pPr>
            <w:r>
              <w:rPr>
                <w:rFonts w:hint="eastAsia"/>
                <w:szCs w:val="24"/>
              </w:rPr>
              <w:t>现场调研、座谈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Align w:val="center"/>
          </w:tcPr>
          <w:p>
            <w:pPr>
              <w:pStyle w:val="4"/>
              <w:numPr>
                <w:ilvl w:val="0"/>
                <w:numId w:val="8"/>
              </w:numPr>
              <w:jc w:val="center"/>
              <w:rPr>
                <w:szCs w:val="24"/>
              </w:rPr>
            </w:pPr>
          </w:p>
        </w:tc>
        <w:tc>
          <w:tcPr>
            <w:tcW w:w="4199" w:type="dxa"/>
            <w:vAlign w:val="center"/>
          </w:tcPr>
          <w:p>
            <w:pPr>
              <w:pStyle w:val="4"/>
              <w:spacing w:line="240" w:lineRule="auto"/>
              <w:ind w:firstLine="0"/>
              <w:rPr>
                <w:szCs w:val="24"/>
              </w:rPr>
            </w:pPr>
            <w:r>
              <w:rPr>
                <w:rFonts w:hint="eastAsia" w:ascii="宋体" w:hAnsi="宋体" w:cs="宋体"/>
                <w:szCs w:val="24"/>
              </w:rPr>
              <w:t>圆通速递（上虞转运中心）</w:t>
            </w:r>
          </w:p>
        </w:tc>
        <w:tc>
          <w:tcPr>
            <w:tcW w:w="2505" w:type="dxa"/>
            <w:vAlign w:val="center"/>
          </w:tcPr>
          <w:p>
            <w:pPr>
              <w:pStyle w:val="4"/>
              <w:spacing w:line="240" w:lineRule="auto"/>
              <w:ind w:firstLine="0"/>
              <w:rPr>
                <w:szCs w:val="24"/>
              </w:rPr>
            </w:pPr>
            <w:r>
              <w:rPr>
                <w:rFonts w:hint="eastAsia"/>
                <w:szCs w:val="24"/>
              </w:rPr>
              <w:t>物流企业</w:t>
            </w:r>
          </w:p>
        </w:tc>
        <w:tc>
          <w:tcPr>
            <w:tcW w:w="2030" w:type="dxa"/>
            <w:vAlign w:val="center"/>
          </w:tcPr>
          <w:p>
            <w:pPr>
              <w:pStyle w:val="4"/>
              <w:spacing w:line="240" w:lineRule="auto"/>
              <w:ind w:firstLine="0"/>
              <w:rPr>
                <w:szCs w:val="24"/>
              </w:rPr>
            </w:pPr>
            <w:r>
              <w:rPr>
                <w:rFonts w:hint="eastAsia"/>
                <w:szCs w:val="24"/>
              </w:rPr>
              <w:t>现场调研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Align w:val="center"/>
          </w:tcPr>
          <w:p>
            <w:pPr>
              <w:pStyle w:val="4"/>
              <w:numPr>
                <w:ilvl w:val="0"/>
                <w:numId w:val="8"/>
              </w:numPr>
              <w:jc w:val="center"/>
              <w:rPr>
                <w:szCs w:val="24"/>
              </w:rPr>
            </w:pPr>
          </w:p>
        </w:tc>
        <w:tc>
          <w:tcPr>
            <w:tcW w:w="4199" w:type="dxa"/>
            <w:vAlign w:val="center"/>
          </w:tcPr>
          <w:p>
            <w:pPr>
              <w:pStyle w:val="4"/>
              <w:spacing w:line="240" w:lineRule="auto"/>
              <w:ind w:firstLine="0"/>
              <w:rPr>
                <w:rFonts w:ascii="宋体" w:hAnsi="宋体" w:cs="宋体"/>
                <w:szCs w:val="24"/>
              </w:rPr>
            </w:pPr>
            <w:r>
              <w:rPr>
                <w:rFonts w:hint="eastAsia" w:ascii="宋体" w:hAnsi="宋体" w:cs="宋体"/>
                <w:szCs w:val="24"/>
              </w:rPr>
              <w:t>浙江英特集团股份有限公司（绍兴物流中心）</w:t>
            </w:r>
          </w:p>
        </w:tc>
        <w:tc>
          <w:tcPr>
            <w:tcW w:w="2505" w:type="dxa"/>
            <w:vAlign w:val="center"/>
          </w:tcPr>
          <w:p>
            <w:pPr>
              <w:pStyle w:val="4"/>
              <w:spacing w:line="240" w:lineRule="auto"/>
              <w:ind w:firstLine="0"/>
              <w:rPr>
                <w:szCs w:val="24"/>
              </w:rPr>
            </w:pPr>
            <w:r>
              <w:rPr>
                <w:rFonts w:hint="eastAsia"/>
                <w:szCs w:val="24"/>
              </w:rPr>
              <w:t>医药、冷链物流企业</w:t>
            </w:r>
          </w:p>
        </w:tc>
        <w:tc>
          <w:tcPr>
            <w:tcW w:w="2030" w:type="dxa"/>
            <w:vAlign w:val="center"/>
          </w:tcPr>
          <w:p>
            <w:pPr>
              <w:pStyle w:val="4"/>
              <w:spacing w:line="240" w:lineRule="auto"/>
              <w:ind w:firstLine="0"/>
              <w:rPr>
                <w:szCs w:val="24"/>
              </w:rPr>
            </w:pPr>
            <w:r>
              <w:rPr>
                <w:rFonts w:hint="eastAsia"/>
                <w:szCs w:val="24"/>
              </w:rPr>
              <w:t>现场调研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Align w:val="center"/>
          </w:tcPr>
          <w:p>
            <w:pPr>
              <w:pStyle w:val="4"/>
              <w:numPr>
                <w:ilvl w:val="0"/>
                <w:numId w:val="8"/>
              </w:numPr>
              <w:jc w:val="center"/>
              <w:rPr>
                <w:szCs w:val="24"/>
              </w:rPr>
            </w:pPr>
          </w:p>
        </w:tc>
        <w:tc>
          <w:tcPr>
            <w:tcW w:w="4199" w:type="dxa"/>
            <w:vAlign w:val="center"/>
          </w:tcPr>
          <w:p>
            <w:pPr>
              <w:pStyle w:val="4"/>
              <w:spacing w:line="240" w:lineRule="auto"/>
              <w:ind w:firstLine="0"/>
              <w:rPr>
                <w:rFonts w:ascii="宋体" w:hAnsi="宋体" w:cs="宋体"/>
                <w:szCs w:val="24"/>
              </w:rPr>
            </w:pPr>
            <w:r>
              <w:rPr>
                <w:rFonts w:hint="eastAsia" w:ascii="宋体" w:hAnsi="宋体"/>
                <w:szCs w:val="24"/>
              </w:rPr>
              <w:t>深圳市矽赫科技有限公司</w:t>
            </w:r>
          </w:p>
        </w:tc>
        <w:tc>
          <w:tcPr>
            <w:tcW w:w="2505" w:type="dxa"/>
            <w:vAlign w:val="center"/>
          </w:tcPr>
          <w:p>
            <w:pPr>
              <w:pStyle w:val="4"/>
              <w:spacing w:line="240" w:lineRule="auto"/>
              <w:ind w:firstLine="0"/>
              <w:rPr>
                <w:szCs w:val="24"/>
              </w:rPr>
            </w:pPr>
            <w:r>
              <w:rPr>
                <w:rFonts w:hint="eastAsia"/>
                <w:szCs w:val="24"/>
              </w:rPr>
              <w:t>智慧物流方案提供方</w:t>
            </w:r>
          </w:p>
        </w:tc>
        <w:tc>
          <w:tcPr>
            <w:tcW w:w="2030" w:type="dxa"/>
            <w:vAlign w:val="center"/>
          </w:tcPr>
          <w:p>
            <w:pPr>
              <w:pStyle w:val="4"/>
              <w:spacing w:line="240" w:lineRule="auto"/>
              <w:ind w:firstLine="0"/>
              <w:rPr>
                <w:szCs w:val="24"/>
              </w:rPr>
            </w:pPr>
            <w:r>
              <w:rPr>
                <w:rFonts w:hint="eastAsia"/>
                <w:szCs w:val="24"/>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Align w:val="center"/>
          </w:tcPr>
          <w:p>
            <w:pPr>
              <w:pStyle w:val="4"/>
              <w:numPr>
                <w:ilvl w:val="0"/>
                <w:numId w:val="8"/>
              </w:numPr>
              <w:jc w:val="center"/>
              <w:rPr>
                <w:szCs w:val="24"/>
              </w:rPr>
            </w:pPr>
          </w:p>
        </w:tc>
        <w:tc>
          <w:tcPr>
            <w:tcW w:w="4199" w:type="dxa"/>
            <w:vAlign w:val="center"/>
          </w:tcPr>
          <w:p>
            <w:pPr>
              <w:spacing w:line="360" w:lineRule="auto"/>
              <w:rPr>
                <w:rFonts w:ascii="宋体" w:hAnsi="宋体"/>
                <w:sz w:val="24"/>
              </w:rPr>
            </w:pPr>
            <w:r>
              <w:rPr>
                <w:rFonts w:hint="eastAsia" w:ascii="宋体" w:hAnsi="宋体"/>
                <w:sz w:val="24"/>
              </w:rPr>
              <w:t>南京音飞储存设备（集团）有限公司</w:t>
            </w:r>
          </w:p>
        </w:tc>
        <w:tc>
          <w:tcPr>
            <w:tcW w:w="2505" w:type="dxa"/>
            <w:vAlign w:val="center"/>
          </w:tcPr>
          <w:p>
            <w:pPr>
              <w:pStyle w:val="4"/>
              <w:spacing w:line="240" w:lineRule="auto"/>
              <w:ind w:firstLine="0"/>
              <w:rPr>
                <w:szCs w:val="24"/>
              </w:rPr>
            </w:pPr>
            <w:r>
              <w:rPr>
                <w:rFonts w:hint="eastAsia"/>
                <w:szCs w:val="24"/>
              </w:rPr>
              <w:t>物流设备制造企业</w:t>
            </w:r>
          </w:p>
        </w:tc>
        <w:tc>
          <w:tcPr>
            <w:tcW w:w="2030" w:type="dxa"/>
            <w:vAlign w:val="center"/>
          </w:tcPr>
          <w:p>
            <w:pPr>
              <w:pStyle w:val="4"/>
              <w:spacing w:line="240" w:lineRule="auto"/>
              <w:ind w:firstLine="0"/>
              <w:rPr>
                <w:rFonts w:eastAsia="宋体"/>
                <w:szCs w:val="24"/>
              </w:rPr>
            </w:pPr>
            <w:r>
              <w:rPr>
                <w:rFonts w:hint="eastAsia"/>
                <w:szCs w:val="24"/>
              </w:rPr>
              <w:t>线上、问卷调研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Align w:val="center"/>
          </w:tcPr>
          <w:p>
            <w:pPr>
              <w:pStyle w:val="4"/>
              <w:numPr>
                <w:ilvl w:val="0"/>
                <w:numId w:val="8"/>
              </w:numPr>
              <w:jc w:val="center"/>
              <w:rPr>
                <w:szCs w:val="24"/>
              </w:rPr>
            </w:pPr>
          </w:p>
        </w:tc>
        <w:tc>
          <w:tcPr>
            <w:tcW w:w="4199" w:type="dxa"/>
            <w:vAlign w:val="center"/>
          </w:tcPr>
          <w:p>
            <w:pPr>
              <w:spacing w:line="360" w:lineRule="auto"/>
              <w:rPr>
                <w:rFonts w:ascii="宋体" w:hAnsi="宋体"/>
                <w:sz w:val="24"/>
              </w:rPr>
            </w:pPr>
            <w:r>
              <w:rPr>
                <w:rFonts w:hint="eastAsia" w:ascii="宋体" w:hAnsi="宋体"/>
                <w:sz w:val="24"/>
              </w:rPr>
              <w:t>江苏六维物流设备实业有限公司</w:t>
            </w:r>
          </w:p>
        </w:tc>
        <w:tc>
          <w:tcPr>
            <w:tcW w:w="2505" w:type="dxa"/>
            <w:vAlign w:val="center"/>
          </w:tcPr>
          <w:p>
            <w:pPr>
              <w:pStyle w:val="4"/>
              <w:spacing w:line="240" w:lineRule="auto"/>
              <w:ind w:firstLine="0"/>
              <w:rPr>
                <w:szCs w:val="24"/>
              </w:rPr>
            </w:pPr>
            <w:r>
              <w:rPr>
                <w:rFonts w:hint="eastAsia"/>
                <w:szCs w:val="24"/>
              </w:rPr>
              <w:t>物流设备制造企业</w:t>
            </w:r>
          </w:p>
        </w:tc>
        <w:tc>
          <w:tcPr>
            <w:tcW w:w="2030" w:type="dxa"/>
            <w:vAlign w:val="center"/>
          </w:tcPr>
          <w:p>
            <w:pPr>
              <w:pStyle w:val="4"/>
              <w:spacing w:line="240" w:lineRule="auto"/>
              <w:ind w:firstLine="0"/>
              <w:rPr>
                <w:szCs w:val="24"/>
              </w:rPr>
            </w:pPr>
            <w:r>
              <w:rPr>
                <w:rFonts w:hint="eastAsia"/>
                <w:szCs w:val="24"/>
              </w:rPr>
              <w:t>线上</w:t>
            </w:r>
          </w:p>
        </w:tc>
      </w:tr>
    </w:tbl>
    <w:p>
      <w:pPr>
        <w:pStyle w:val="4"/>
        <w:rPr>
          <w:sz w:val="28"/>
          <w:szCs w:val="28"/>
        </w:rPr>
      </w:pPr>
      <w:r>
        <w:rPr>
          <w:rFonts w:hint="eastAsia"/>
          <w:sz w:val="28"/>
          <w:szCs w:val="28"/>
        </w:rPr>
        <w:t>二、调研情况说明</w:t>
      </w:r>
    </w:p>
    <w:p>
      <w:pPr>
        <w:pStyle w:val="4"/>
        <w:rPr>
          <w:sz w:val="28"/>
          <w:szCs w:val="28"/>
        </w:rPr>
      </w:pPr>
      <w:r>
        <w:rPr>
          <w:rFonts w:hint="eastAsia"/>
          <w:sz w:val="28"/>
          <w:szCs w:val="28"/>
        </w:rPr>
        <w:t>标准工作组通过现场调研、线上会议、问卷调研等方式对上述企业进行了调研，现对调研情况进行说明：</w:t>
      </w:r>
    </w:p>
    <w:p>
      <w:pPr>
        <w:pStyle w:val="4"/>
        <w:ind w:firstLine="560" w:firstLineChars="200"/>
        <w:rPr>
          <w:sz w:val="28"/>
          <w:szCs w:val="28"/>
        </w:rPr>
      </w:pPr>
      <w:r>
        <w:rPr>
          <w:rFonts w:hint="eastAsia"/>
          <w:sz w:val="28"/>
          <w:szCs w:val="28"/>
        </w:rPr>
        <w:t>基础管理方面，即企业对自动分拣设备管理的最基础的要求，综合10家企业的调研情况，企业在专责管理机构、管理人员、管理制度等方面都有要求，如自动分拣设备使用单位都设有专门的设备管理部门，部门内配有专职的设备管理人员和维护修理人员，设备管理部门的主要职责可以总结概况为：（1）制定自动分拣设备的使用、管理、维护与修理等相关制度和具体的操作规程；（2）组织实施自动分拣设备的维护与修理；（3）对设备的技术改造、更新与大修、报废等申请进行鉴定，并负责后期的组织实施；（4）开展对设备操作人员的岗位培训和安全教育；（5）负责自动分拣设备的档案管理，做好统计分析工作。同时设备使用单位针对自动分拣设备的使用和管理制定了相关的规章制度，如岗位责任制度；设备交接验收制度；设备维护、修理、使用制度；档案管理制度；相关人员的培训制度等。此外，在环保方面主要考虑设备运行时可能对环境造成的粉尘和噪音影响，要采取有效防护措施；安全方面要考虑人机交互的安全性，在人机交互环节设置一些安全防护措施。</w:t>
      </w:r>
    </w:p>
    <w:p>
      <w:pPr>
        <w:pStyle w:val="4"/>
        <w:ind w:firstLine="560" w:firstLineChars="200"/>
        <w:rPr>
          <w:sz w:val="28"/>
          <w:szCs w:val="28"/>
        </w:rPr>
      </w:pPr>
      <w:r>
        <w:rPr>
          <w:rFonts w:hint="eastAsia"/>
          <w:sz w:val="28"/>
          <w:szCs w:val="28"/>
        </w:rPr>
        <w:t>此次调研，了解到企业在对自动分拣设备管理的关注点主要集中在自动分拣设备的规划与设计、安装调试和验收、使用规范、维护与修理、改造、更新和报废、技术培训以及档案管理等方面。</w:t>
      </w:r>
    </w:p>
    <w:p>
      <w:pPr>
        <w:pStyle w:val="14"/>
        <w:numPr>
          <w:ilvl w:val="0"/>
          <w:numId w:val="0"/>
        </w:numPr>
        <w:ind w:firstLine="560" w:firstLineChars="200"/>
        <w:rPr>
          <w:rFonts w:ascii="ˎ̥" w:hAnsi="ˎ̥"/>
          <w:sz w:val="28"/>
          <w:szCs w:val="28"/>
        </w:rPr>
      </w:pPr>
      <w:r>
        <w:rPr>
          <w:rFonts w:hint="eastAsia" w:asciiTheme="minorHAnsi" w:hAnsiTheme="minorHAnsi" w:eastAsiaTheme="minorEastAsia" w:cstheme="minorBidi"/>
          <w:sz w:val="28"/>
          <w:szCs w:val="28"/>
        </w:rPr>
        <w:t>使用单位选择适合自己业务需求的自动分拣设备是后期运营的前提！在规划和选购自动分拣设备前，企业的设备管理部门和使用部门会联合编制设备购置计划/规划。调研后，工作组梳理了企业在制定设备购置规划时，考虑的主要因素有：（1）根据作业流程、分拣的业务总量、作业的时间要求、单位时间的处件数，选择分拣机构</w:t>
      </w:r>
      <w:r>
        <w:rPr>
          <w:rFonts w:asciiTheme="minorHAnsi" w:hAnsiTheme="minorHAnsi" w:eastAsiaTheme="minorEastAsia" w:cstheme="minorBidi"/>
          <w:sz w:val="28"/>
          <w:szCs w:val="28"/>
        </w:rPr>
        <w:t>的</w:t>
      </w:r>
      <w:r>
        <w:rPr>
          <w:rFonts w:hint="eastAsia" w:asciiTheme="minorHAnsi" w:hAnsiTheme="minorHAnsi" w:eastAsiaTheme="minorEastAsia" w:cstheme="minorBidi"/>
          <w:sz w:val="28"/>
          <w:szCs w:val="28"/>
        </w:rPr>
        <w:t>分拣效率、供件席位数量、分拣格口数量；（2）根据场地环境、被分拣物品的形状、大小、质量、材质是否易碎，包装方式以及包装的标准化程度等选择分拣机构的类型；（3）自动分拣设备各组成部分在后期可以进行拓展，设备的系统以及机械机构要易于维护、便于操作，且具有纠错能力，来保证分拣的稳定性和准确性；（4）</w:t>
      </w:r>
      <w:r>
        <w:rPr>
          <w:rFonts w:hint="eastAsia" w:ascii="ˎ̥" w:hAnsi="ˎ̥"/>
          <w:sz w:val="28"/>
          <w:szCs w:val="28"/>
        </w:rPr>
        <w:t>如购置分拣设备为改造升级用途，还需考虑购置设备与现有软硬件设备的配合情况。</w:t>
      </w:r>
    </w:p>
    <w:p>
      <w:pPr>
        <w:pStyle w:val="14"/>
        <w:numPr>
          <w:ilvl w:val="0"/>
          <w:numId w:val="0"/>
        </w:numPr>
        <w:ind w:firstLine="560" w:firstLineChars="200"/>
        <w:rPr>
          <w:rFonts w:ascii="ˎ̥" w:hAnsi="ˎ̥"/>
          <w:sz w:val="28"/>
          <w:szCs w:val="28"/>
        </w:rPr>
      </w:pPr>
      <w:r>
        <w:rPr>
          <w:rFonts w:hint="eastAsia" w:ascii="ˎ̥" w:hAnsi="ˎ̥"/>
          <w:sz w:val="28"/>
          <w:szCs w:val="28"/>
        </w:rPr>
        <w:t>在购置自动分拣设备时，设备使用企业除了要求设备供应方提供符合要求的分拣设备外，还会对设备供应方有其他方面的约定要求，如：设备供应方对验收交付环节中的人员操作培训内容、范围、培训效果等要求有明确计划，确保使用方能够自行解决日常点检</w:t>
      </w:r>
      <w:r>
        <w:rPr>
          <w:rFonts w:hint="eastAsia" w:ascii="ˎ̥" w:hAnsi="ˎ̥"/>
          <w:color w:val="auto"/>
          <w:sz w:val="28"/>
          <w:szCs w:val="28"/>
        </w:rPr>
        <w:t>修维</w:t>
      </w:r>
      <w:r>
        <w:rPr>
          <w:rFonts w:hint="eastAsia" w:ascii="ˎ̥" w:hAnsi="ˎ̥"/>
          <w:sz w:val="28"/>
          <w:szCs w:val="28"/>
        </w:rPr>
        <w:t>护范围内的工作；质保期后的长期维护情况，如易损件的供应渠道、突发故障的维护响应情况等有要求。</w:t>
      </w:r>
    </w:p>
    <w:p>
      <w:pPr>
        <w:pStyle w:val="14"/>
        <w:numPr>
          <w:ilvl w:val="0"/>
          <w:numId w:val="0"/>
        </w:numPr>
        <w:ind w:firstLine="560" w:firstLineChars="200"/>
        <w:rPr>
          <w:rFonts w:ascii="ˎ̥" w:hAnsi="ˎ̥"/>
          <w:sz w:val="28"/>
          <w:szCs w:val="28"/>
        </w:rPr>
      </w:pPr>
      <w:r>
        <w:rPr>
          <w:rFonts w:hint="eastAsia" w:ascii="ˎ̥" w:hAnsi="ˎ̥"/>
          <w:sz w:val="28"/>
          <w:szCs w:val="28"/>
        </w:rPr>
        <w:t>对自动分拣设备的安装、调试和验收方面，自动分拣设备的现场安装、调试，依照设备的施工图、组装图及即使说明书要求开展，设备的验收按照供需双方签订的技术协议开展验收工作。关于自动分拣设备安装、调试后的主要技术性能，原标准中的相关性能要求，是按自动分拣设备提供方技术标准和协议要求进行安装、调试后可达到的水平。</w:t>
      </w:r>
    </w:p>
    <w:p>
      <w:pPr>
        <w:pStyle w:val="14"/>
        <w:numPr>
          <w:ilvl w:val="0"/>
          <w:numId w:val="0"/>
        </w:numPr>
        <w:ind w:firstLine="560" w:firstLineChars="200"/>
        <w:rPr>
          <w:rFonts w:ascii="ˎ̥" w:hAnsi="ˎ̥"/>
          <w:sz w:val="28"/>
          <w:szCs w:val="28"/>
        </w:rPr>
      </w:pPr>
      <w:r>
        <w:rPr>
          <w:rFonts w:hint="eastAsia" w:ascii="ˎ̥" w:hAnsi="ˎ̥"/>
          <w:sz w:val="28"/>
          <w:szCs w:val="28"/>
        </w:rPr>
        <w:t>自动分拣设备使用管理方面，企业主要关注设备的使用规范，要求操作人员按正确的操作规程使用自动分拣设备，并做好每日的清洁维护工作。此外，自动分拣设备使用中发生故障时正确的处理方法也是企业关注的重点。当自动分拣设备使用中发生故障时，企业普遍的做法是：由操作人员采取紧急停机措施，操作人员联系维修人员到现场及时排除故障，若无法排除故障，应对现场进行保护，及时向设备管理人员保修，设备管理人员协助维修人员判断分析，提出修理意见：若内部不能修理，则需联系供应商在供应商指导下进行修理，或由供应商到现场处理。最后，对于设备的故障保修要做好记录，以便汇总和分析统计。</w:t>
      </w:r>
    </w:p>
    <w:p>
      <w:pPr>
        <w:spacing w:line="360" w:lineRule="auto"/>
        <w:ind w:firstLine="560" w:firstLineChars="200"/>
        <w:rPr>
          <w:rFonts w:ascii="ˎ̥" w:hAnsi="ˎ̥"/>
          <w:kern w:val="0"/>
          <w:sz w:val="28"/>
          <w:szCs w:val="28"/>
        </w:rPr>
      </w:pPr>
      <w:r>
        <w:rPr>
          <w:rFonts w:hint="eastAsia" w:ascii="ˎ̥" w:hAnsi="ˎ̥"/>
          <w:kern w:val="0"/>
          <w:sz w:val="28"/>
          <w:szCs w:val="28"/>
        </w:rPr>
        <w:t>自动分拣设备维护和修理方面，此次修订过程中调研走访的企业中，部分企业在维护和修理管理方面采用的是点检和定期巡检相结合的维护方案，但实际检查内容与检查周期与原标准中的例行维护及三级维护是相符的。针对设备修理问题，调研企业表示设备使用单位相关操作人员、管理人员和维修人员经过技术培训，对于部分故障能自行处理的就由使用单位自行处理，不能自行处理的重大故障需交由设备供应方或有专业资质的单位进行修理，针对不同的故障情况提出不同的维修计划。</w:t>
      </w:r>
    </w:p>
    <w:p>
      <w:pPr>
        <w:pStyle w:val="4"/>
        <w:ind w:firstLine="560" w:firstLineChars="200"/>
        <w:rPr>
          <w:sz w:val="28"/>
          <w:szCs w:val="28"/>
        </w:rPr>
      </w:pPr>
      <w:r>
        <w:rPr>
          <w:rFonts w:hint="eastAsia"/>
          <w:sz w:val="28"/>
          <w:szCs w:val="28"/>
        </w:rPr>
        <w:t>自动分拣设备的改造、更新和报废方面，除关注技术性能和使用功能的改善外，还会关注自动分拣设备与企业业务形态的适用性，一般会因业务形态或体量的变化需要进行设备升级改造，也会出现因业务形态变化，导致自动分拣设备不再适应当前使用需求而将设备淘汰的情况。</w:t>
      </w:r>
    </w:p>
    <w:p>
      <w:pPr>
        <w:pStyle w:val="4"/>
        <w:ind w:firstLine="560" w:firstLineChars="200"/>
        <w:rPr>
          <w:sz w:val="28"/>
          <w:szCs w:val="28"/>
        </w:rPr>
      </w:pPr>
      <w:r>
        <w:rPr>
          <w:rFonts w:hint="eastAsia"/>
          <w:sz w:val="28"/>
          <w:szCs w:val="28"/>
        </w:rPr>
        <w:t>自动分拣设备从安装、使用到最终报废的全生命周期中，涉及了设备供应方的设计制造人员，安装调试人员，设备使用方的操作人员、管理人员和维修人员。从设备使用方角度出发，企业会为各类人员提供其岗位范围内的专业培训，使其能够达到解决工作范围内的能力要求。主要的培训有：设备验收交付时，要求设备供应方提供相应的培训，确保使用方能够自行解决日常检查和维护范围内的工作；设备使用时，设备操作人员应经过岗前培训并掌握正确操作自动分拣设备，熟悉自动分拣设备功能和结构，能处理设备使用中各类常见故障的技能；为提高设备使用、管理和维修人员的技术水平，设备使用企业还会有计划的开展技术培训。</w:t>
      </w:r>
    </w:p>
    <w:p>
      <w:pPr>
        <w:pStyle w:val="4"/>
        <w:ind w:firstLine="560" w:firstLineChars="200"/>
        <w:rPr>
          <w:sz w:val="28"/>
          <w:szCs w:val="28"/>
        </w:rPr>
      </w:pPr>
      <w:r>
        <w:rPr>
          <w:rFonts w:hint="eastAsia"/>
          <w:sz w:val="28"/>
          <w:szCs w:val="28"/>
        </w:rPr>
        <w:t>档案管理方面，参照企业普遍适用的固定资产档案管理办法，还会重点关注以下内容:设备的安装、移交验收报告；设备附件、备件及随机工具清单、设备施工图、组装图、技术状况检查表；设备使用、维护、修理、检查记录、大修验收总结；设备改造技术资料、事故调查分析报告、性能与功能测试报告等；设备存在的问题及统计、分析、评价等。</w:t>
      </w:r>
    </w:p>
    <w:p>
      <w:pPr>
        <w:pStyle w:val="4"/>
        <w:ind w:firstLine="560" w:firstLineChars="200"/>
        <w:rPr>
          <w:sz w:val="28"/>
          <w:szCs w:val="28"/>
        </w:rPr>
      </w:pPr>
      <w:r>
        <w:rPr>
          <w:rFonts w:hint="eastAsia"/>
          <w:sz w:val="28"/>
          <w:szCs w:val="28"/>
        </w:rPr>
        <w:t>以上是标准工作组在起草阶段开展的调研工作，此次调研企业有分拣中心、物流中心等自动分拣设备使用企业，以及提供智慧物流解决方案的物流集成企业，基本反应了企业在自动分拣设备的购置规划、安装、调试和验收、使用、维护和修理、改</w:t>
      </w:r>
      <w:r>
        <w:rPr>
          <w:rFonts w:hint="eastAsia"/>
          <w:color w:val="auto"/>
          <w:sz w:val="28"/>
          <w:szCs w:val="28"/>
        </w:rPr>
        <w:t>造、</w:t>
      </w:r>
      <w:r>
        <w:rPr>
          <w:rFonts w:hint="eastAsia"/>
          <w:sz w:val="28"/>
          <w:szCs w:val="28"/>
        </w:rPr>
        <w:t>更新和报废、技术培训和档案管理等方面的实际情况，为标准相关内容的修订和编制提供了参考和依据。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5088F9"/>
    <w:multiLevelType w:val="singleLevel"/>
    <w:tmpl w:val="A05088F9"/>
    <w:lvl w:ilvl="0" w:tentative="0">
      <w:start w:val="1"/>
      <w:numFmt w:val="decimal"/>
      <w:lvlText w:val="%1."/>
      <w:lvlJc w:val="left"/>
      <w:pPr>
        <w:ind w:left="425" w:hanging="425"/>
      </w:pPr>
      <w:rPr>
        <w:rFonts w:hint="default"/>
      </w:rPr>
    </w:lvl>
  </w:abstractNum>
  <w:abstractNum w:abstractNumId="1">
    <w:nsid w:val="A4E22DB7"/>
    <w:multiLevelType w:val="multilevel"/>
    <w:tmpl w:val="A4E22DB7"/>
    <w:lvl w:ilvl="0" w:tentative="0">
      <w:start w:val="1"/>
      <w:numFmt w:val="none"/>
      <w:pStyle w:val="14"/>
      <w:suff w:val="nothing"/>
      <w:lvlText w:val="%1——"/>
      <w:lvlJc w:val="left"/>
      <w:pPr>
        <w:ind w:left="828" w:hanging="408"/>
      </w:pPr>
      <w:rPr>
        <w:rFonts w:hint="default" w:ascii="Times New Roman" w:hAnsi="Times New Roman" w:cs="Times New Roman"/>
      </w:rPr>
    </w:lvl>
    <w:lvl w:ilvl="1" w:tentative="0">
      <w:start w:val="1"/>
      <w:numFmt w:val="bullet"/>
      <w:pStyle w:val="16"/>
      <w:lvlText w:val=""/>
      <w:lvlJc w:val="left"/>
      <w:pPr>
        <w:tabs>
          <w:tab w:val="left" w:pos="760"/>
        </w:tabs>
        <w:ind w:left="1264" w:hanging="413"/>
      </w:pPr>
      <w:rPr>
        <w:rFonts w:hint="default" w:ascii="Symbol" w:hAnsi="Symbol"/>
        <w:color w:val="auto"/>
      </w:rPr>
    </w:lvl>
    <w:lvl w:ilvl="2" w:tentative="0">
      <w:start w:val="1"/>
      <w:numFmt w:val="bullet"/>
      <w:pStyle w:val="1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019B89E7"/>
    <w:multiLevelType w:val="singleLevel"/>
    <w:tmpl w:val="019B89E7"/>
    <w:lvl w:ilvl="0" w:tentative="0">
      <w:start w:val="5"/>
      <w:numFmt w:val="chineseCounting"/>
      <w:suff w:val="nothing"/>
      <w:lvlText w:val="%1、"/>
      <w:lvlJc w:val="left"/>
      <w:rPr>
        <w:rFonts w:hint="eastAsia"/>
      </w:rPr>
    </w:lvl>
  </w:abstractNum>
  <w:abstractNum w:abstractNumId="3">
    <w:nsid w:val="13E5D899"/>
    <w:multiLevelType w:val="singleLevel"/>
    <w:tmpl w:val="13E5D899"/>
    <w:lvl w:ilvl="0" w:tentative="0">
      <w:start w:val="1"/>
      <w:numFmt w:val="decimal"/>
      <w:suff w:val="nothing"/>
      <w:lvlText w:val="%1、"/>
      <w:lvlJc w:val="left"/>
    </w:lvl>
  </w:abstractNum>
  <w:abstractNum w:abstractNumId="4">
    <w:nsid w:val="182F6D14"/>
    <w:multiLevelType w:val="singleLevel"/>
    <w:tmpl w:val="182F6D14"/>
    <w:lvl w:ilvl="0" w:tentative="0">
      <w:start w:val="1"/>
      <w:numFmt w:val="decimal"/>
      <w:suff w:val="nothing"/>
      <w:lvlText w:val="%1、"/>
      <w:lvlJc w:val="left"/>
    </w:lvl>
  </w:abstractNum>
  <w:abstractNum w:abstractNumId="5">
    <w:nsid w:val="1948B65C"/>
    <w:multiLevelType w:val="singleLevel"/>
    <w:tmpl w:val="1948B65C"/>
    <w:lvl w:ilvl="0" w:tentative="0">
      <w:start w:val="2"/>
      <w:numFmt w:val="chineseCounting"/>
      <w:suff w:val="nothing"/>
      <w:lvlText w:val="（%1）"/>
      <w:lvlJc w:val="left"/>
      <w:rPr>
        <w:rFonts w:hint="eastAsia"/>
      </w:rPr>
    </w:lvl>
  </w:abstractNum>
  <w:abstractNum w:abstractNumId="6">
    <w:nsid w:val="4667F0C6"/>
    <w:multiLevelType w:val="singleLevel"/>
    <w:tmpl w:val="4667F0C6"/>
    <w:lvl w:ilvl="0" w:tentative="0">
      <w:start w:val="1"/>
      <w:numFmt w:val="decimal"/>
      <w:suff w:val="nothing"/>
      <w:lvlText w:val="%1、"/>
      <w:lvlJc w:val="left"/>
    </w:lvl>
  </w:abstractNum>
  <w:abstractNum w:abstractNumId="7">
    <w:nsid w:val="71375C3D"/>
    <w:multiLevelType w:val="singleLevel"/>
    <w:tmpl w:val="71375C3D"/>
    <w:lvl w:ilvl="0" w:tentative="0">
      <w:start w:val="1"/>
      <w:numFmt w:val="decimal"/>
      <w:suff w:val="nothing"/>
      <w:lvlText w:val="（%1）"/>
      <w:lvlJc w:val="left"/>
    </w:lvl>
  </w:abstractNum>
  <w:num w:numId="1">
    <w:abstractNumId w:val="1"/>
  </w:num>
  <w:num w:numId="2">
    <w:abstractNumId w:val="5"/>
  </w:num>
  <w:num w:numId="3">
    <w:abstractNumId w:val="3"/>
  </w:num>
  <w:num w:numId="4">
    <w:abstractNumId w:val="6"/>
  </w:num>
  <w:num w:numId="5">
    <w:abstractNumId w:val="7"/>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MzU2NjY2ZmYxOWNmMWYyMWI1NTQ1OGQ4MDQ5ZjcifQ=="/>
  </w:docVars>
  <w:rsids>
    <w:rsidRoot w:val="3B6644BA"/>
    <w:rsid w:val="00900E4A"/>
    <w:rsid w:val="00A7402B"/>
    <w:rsid w:val="00DC5F92"/>
    <w:rsid w:val="00FE4E1C"/>
    <w:rsid w:val="049D3B67"/>
    <w:rsid w:val="04AB0268"/>
    <w:rsid w:val="04E36DEE"/>
    <w:rsid w:val="06264A24"/>
    <w:rsid w:val="0EEE7499"/>
    <w:rsid w:val="12E0534B"/>
    <w:rsid w:val="1C677287"/>
    <w:rsid w:val="20795DD4"/>
    <w:rsid w:val="20FB5A46"/>
    <w:rsid w:val="23B75AD9"/>
    <w:rsid w:val="244204CA"/>
    <w:rsid w:val="245177C0"/>
    <w:rsid w:val="256E02F9"/>
    <w:rsid w:val="25C26B7B"/>
    <w:rsid w:val="27E17743"/>
    <w:rsid w:val="284258A0"/>
    <w:rsid w:val="30B654E5"/>
    <w:rsid w:val="35E11256"/>
    <w:rsid w:val="37FB65FF"/>
    <w:rsid w:val="3B6644BA"/>
    <w:rsid w:val="3BE253E0"/>
    <w:rsid w:val="430D48A1"/>
    <w:rsid w:val="4404683C"/>
    <w:rsid w:val="44AF4552"/>
    <w:rsid w:val="44FC39B7"/>
    <w:rsid w:val="4C7C718B"/>
    <w:rsid w:val="4FB21BDB"/>
    <w:rsid w:val="4FBD3D43"/>
    <w:rsid w:val="510A2FB8"/>
    <w:rsid w:val="52ED493F"/>
    <w:rsid w:val="55BE25C3"/>
    <w:rsid w:val="55F935FB"/>
    <w:rsid w:val="57DB56AE"/>
    <w:rsid w:val="5AD50EE8"/>
    <w:rsid w:val="5D1527C9"/>
    <w:rsid w:val="6062696C"/>
    <w:rsid w:val="6F5A2F04"/>
    <w:rsid w:val="71BB5EDC"/>
    <w:rsid w:val="72F87DF1"/>
    <w:rsid w:val="744D3038"/>
    <w:rsid w:val="74997E12"/>
    <w:rsid w:val="74B66B98"/>
    <w:rsid w:val="74CF62A4"/>
    <w:rsid w:val="758111EB"/>
    <w:rsid w:val="77676BCA"/>
    <w:rsid w:val="7C9E6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spacing w:line="360" w:lineRule="auto"/>
      <w:ind w:firstLine="540"/>
      <w:textAlignment w:val="baseline"/>
    </w:pPr>
    <w:rPr>
      <w:kern w:val="0"/>
      <w:sz w:val="24"/>
      <w:szCs w:val="20"/>
    </w:rPr>
  </w:style>
  <w:style w:type="paragraph" w:styleId="5">
    <w:name w:val="Balloon Text"/>
    <w:basedOn w:val="1"/>
    <w:link w:val="19"/>
    <w:qFormat/>
    <w:uiPriority w:val="0"/>
    <w:rPr>
      <w:sz w:val="18"/>
      <w:szCs w:val="18"/>
    </w:rPr>
  </w:style>
  <w:style w:type="paragraph" w:styleId="6">
    <w:name w:val="footer"/>
    <w:basedOn w:val="1"/>
    <w:qFormat/>
    <w:uiPriority w:val="0"/>
    <w:pPr>
      <w:tabs>
        <w:tab w:val="center" w:pos="4153"/>
        <w:tab w:val="right" w:pos="8306"/>
      </w:tabs>
      <w:snapToGrid w:val="0"/>
      <w:ind w:right="210" w:rightChars="100"/>
      <w:jc w:val="righ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page number"/>
    <w:qFormat/>
    <w:uiPriority w:val="0"/>
    <w:rPr>
      <w:rFonts w:ascii="Times New Roman" w:hAnsi="Times New Roman" w:eastAsia="宋体"/>
      <w:sz w:val="18"/>
    </w:rPr>
  </w:style>
  <w:style w:type="character" w:styleId="12">
    <w:name w:val="annotation reference"/>
    <w:basedOn w:val="10"/>
    <w:qFormat/>
    <w:uiPriority w:val="0"/>
    <w:rPr>
      <w:sz w:val="21"/>
      <w:szCs w:val="21"/>
    </w:rPr>
  </w:style>
  <w:style w:type="paragraph" w:customStyle="1" w:styleId="1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
    <w:name w:val="列项——（一级）"/>
    <w:qFormat/>
    <w:uiPriority w:val="0"/>
    <w:pPr>
      <w:widowControl w:val="0"/>
      <w:numPr>
        <w:ilvl w:val="0"/>
        <w:numId w:val="1"/>
      </w:numPr>
      <w:tabs>
        <w:tab w:val="left" w:pos="854"/>
      </w:tabs>
      <w:jc w:val="both"/>
    </w:pPr>
    <w:rPr>
      <w:rFonts w:ascii="宋体" w:hAnsi="Times New Roman" w:eastAsia="宋体" w:cs="Times New Roman"/>
      <w:sz w:val="21"/>
      <w:lang w:val="en-US" w:eastAsia="zh-CN" w:bidi="ar-SA"/>
    </w:rPr>
  </w:style>
  <w:style w:type="paragraph" w:customStyle="1" w:styleId="15">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6">
    <w:name w:val="列项●（二级）"/>
    <w:basedOn w:val="1"/>
    <w:qFormat/>
    <w:uiPriority w:val="0"/>
    <w:pPr>
      <w:numPr>
        <w:ilvl w:val="1"/>
        <w:numId w:val="1"/>
      </w:numPr>
    </w:pPr>
  </w:style>
  <w:style w:type="paragraph" w:customStyle="1" w:styleId="17">
    <w:name w:val="列项◆（三级）"/>
    <w:basedOn w:val="1"/>
    <w:qFormat/>
    <w:uiPriority w:val="0"/>
    <w:pPr>
      <w:numPr>
        <w:ilvl w:val="2"/>
        <w:numId w:val="1"/>
      </w:numPr>
    </w:pPr>
  </w:style>
  <w:style w:type="paragraph" w:customStyle="1" w:styleId="18">
    <w:name w:val="标准书脚_奇数页"/>
    <w:qFormat/>
    <w:uiPriority w:val="0"/>
    <w:pPr>
      <w:spacing w:before="120"/>
      <w:jc w:val="right"/>
    </w:pPr>
    <w:rPr>
      <w:rFonts w:ascii="Times New Roman" w:hAnsi="Times New Roman" w:eastAsia="宋体" w:cs="Times New Roman"/>
      <w:sz w:val="18"/>
      <w:lang w:val="en-US" w:eastAsia="zh-CN" w:bidi="ar-SA"/>
    </w:rPr>
  </w:style>
  <w:style w:type="character" w:customStyle="1" w:styleId="19">
    <w:name w:val="批注框文本 字符"/>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1863</Words>
  <Characters>10620</Characters>
  <Lines>88</Lines>
  <Paragraphs>24</Paragraphs>
  <TotalTime>7</TotalTime>
  <ScaleCrop>false</ScaleCrop>
  <LinksUpToDate>false</LinksUpToDate>
  <CharactersWithSpaces>12459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2023-04-13T02:30:00Z</dcterms:created>
  <dc:creator>金蕾</dc:creator>
  <cp:lastModifiedBy>肖骏</cp:lastModifiedBy>
  <dcterms:modified xsi:type="dcterms:W3CDTF">2023-10-30T02:46:08Z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1FE81D20BD524C418AE259928536B32C_13</vt:lpwstr>
  </property>
</Properties>
</file>