
<file path=[Content_Types].xml><?xml version="1.0" encoding="utf-8"?>
<Types xmlns="http://schemas.openxmlformats.org/package/2006/content-types">
  <Default Extension="xml" ContentType="application/xml"/>
  <Default Extension="png" ContentType="image/png"/>
  <Default Extension="tiff" ContentType="image/tiff"/>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line="240" w:lineRule="auto"/>
              <w:jc w:val="left"/>
              <w:rPr>
                <w:rFonts w:ascii="黑体" w:hAnsi="黑体" w:eastAsia="黑体"/>
                <w:color w:val="auto"/>
                <w:sz w:val="21"/>
                <w:szCs w:val="21"/>
              </w:rPr>
            </w:pPr>
            <w:r>
              <w:rPr>
                <w:rFonts w:ascii="Times New Roman" w:hAnsi="Times New Roman" w:eastAsia="黑体"/>
                <w:color w:val="auto"/>
                <w:sz w:val="21"/>
                <w:szCs w:val="21"/>
              </w:rPr>
              <w:t>ICS</w:t>
            </w:r>
            <w:r>
              <w:rPr>
                <w:rFonts w:ascii="黑体" w:hAnsi="黑体" w:eastAsia="黑体"/>
                <w:color w:val="auto"/>
                <w:sz w:val="21"/>
                <w:szCs w:val="21"/>
              </w:rPr>
              <w:t xml:space="preserve">  </w:t>
            </w:r>
          </w:p>
        </w:tc>
        <w:tc>
          <w:tcPr>
            <w:tcW w:w="8855" w:type="dxa"/>
          </w:tcPr>
          <w:p>
            <w:pPr>
              <w:pStyle w:val="20"/>
              <w:framePr w:wrap="notBeside" w:vAnchor="page" w:hAnchor="page" w:x="1372" w:y="568"/>
              <w:tabs>
                <w:tab w:val="clear" w:pos="4153"/>
                <w:tab w:val="clear" w:pos="8306"/>
              </w:tabs>
              <w:spacing w:line="240" w:lineRule="auto"/>
              <w:ind w:left="3"/>
              <w:jc w:val="both"/>
              <w:rPr>
                <w:rFonts w:ascii="黑体" w:hAnsi="黑体" w:eastAsia="黑体"/>
                <w:color w:val="auto"/>
                <w:sz w:val="21"/>
                <w:szCs w:val="21"/>
              </w:rPr>
            </w:pPr>
            <w:r>
              <w:rPr>
                <w:rFonts w:ascii="黑体" w:hAnsi="黑体" w:eastAsia="黑体"/>
                <w:color w:val="auto"/>
                <w:sz w:val="21"/>
                <w:szCs w:val="21"/>
              </w:rPr>
              <w:fldChar w:fldCharType="begin">
                <w:ffData>
                  <w:name w:val="ICS"/>
                  <w:enabled/>
                  <w:calcOnExit w:val="0"/>
                  <w:textInput>
                    <w:default w:val="点击此处添加ICS号"/>
                  </w:textInput>
                </w:ffData>
              </w:fldChar>
            </w:r>
            <w:bookmarkStart w:id="0" w:name="ICS"/>
            <w:r>
              <w:rPr>
                <w:rFonts w:ascii="黑体" w:hAnsi="黑体" w:eastAsia="黑体"/>
                <w:color w:val="auto"/>
                <w:sz w:val="21"/>
                <w:szCs w:val="21"/>
              </w:rPr>
              <w:instrText xml:space="preserve"> FORMTEXT </w:instrText>
            </w:r>
            <w:r>
              <w:rPr>
                <w:rFonts w:ascii="黑体" w:hAnsi="黑体" w:eastAsia="黑体"/>
                <w:color w:val="auto"/>
                <w:sz w:val="21"/>
                <w:szCs w:val="21"/>
              </w:rPr>
              <w:fldChar w:fldCharType="separate"/>
            </w:r>
            <w:r>
              <w:rPr>
                <w:rFonts w:ascii="黑体" w:hAnsi="黑体" w:eastAsia="黑体"/>
                <w:color w:val="auto"/>
                <w:sz w:val="21"/>
                <w:szCs w:val="21"/>
              </w:rPr>
              <w:t>35.240.99</w:t>
            </w:r>
            <w:r>
              <w:rPr>
                <w:rFonts w:ascii="黑体" w:hAnsi="黑体" w:eastAsia="黑体"/>
                <w:color w:val="auto"/>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before="40" w:line="240" w:lineRule="auto"/>
              <w:jc w:val="left"/>
              <w:rPr>
                <w:rFonts w:ascii="黑体" w:hAnsi="黑体" w:eastAsia="黑体"/>
                <w:color w:val="auto"/>
                <w:sz w:val="21"/>
                <w:szCs w:val="21"/>
              </w:rPr>
            </w:pPr>
            <w:r>
              <w:rPr>
                <w:rFonts w:ascii="Times New Roman" w:hAnsi="Times New Roman" w:eastAsia="黑体"/>
                <w:color w:val="auto"/>
                <w:sz w:val="21"/>
                <w:szCs w:val="21"/>
              </w:rPr>
              <w:t xml:space="preserve">CCS </w:t>
            </w:r>
            <w:r>
              <w:rPr>
                <w:rFonts w:ascii="黑体" w:hAnsi="黑体" w:eastAsia="黑体"/>
                <w:color w:val="auto"/>
                <w:sz w:val="21"/>
                <w:szCs w:val="21"/>
              </w:rPr>
              <w:t xml:space="preserve"> </w:t>
            </w:r>
          </w:p>
        </w:tc>
        <w:tc>
          <w:tcPr>
            <w:tcW w:w="8855" w:type="dxa"/>
          </w:tcPr>
          <w:p>
            <w:pPr>
              <w:pStyle w:val="20"/>
              <w:framePr w:wrap="notBeside" w:vAnchor="page" w:hAnchor="page" w:x="1372" w:y="568"/>
              <w:tabs>
                <w:tab w:val="clear" w:pos="4153"/>
                <w:tab w:val="clear" w:pos="8306"/>
              </w:tabs>
              <w:spacing w:before="40" w:line="240" w:lineRule="auto"/>
              <w:jc w:val="left"/>
              <w:rPr>
                <w:rFonts w:ascii="黑体" w:hAnsi="黑体" w:eastAsia="黑体"/>
                <w:color w:val="auto"/>
                <w:sz w:val="21"/>
                <w:szCs w:val="21"/>
              </w:rPr>
            </w:pPr>
            <w:r>
              <w:rPr>
                <w:rFonts w:ascii="黑体" w:hAnsi="黑体" w:eastAsia="黑体"/>
                <w:color w:val="auto"/>
                <w:sz w:val="21"/>
                <w:szCs w:val="21"/>
              </w:rPr>
              <w:fldChar w:fldCharType="begin">
                <w:ffData>
                  <w:name w:val="CSDN"/>
                  <w:enabled/>
                  <w:calcOnExit w:val="0"/>
                  <w:textInput>
                    <w:default w:val="点击此处添加CCS号"/>
                  </w:textInput>
                </w:ffData>
              </w:fldChar>
            </w:r>
            <w:bookmarkStart w:id="1" w:name="CSDN"/>
            <w:r>
              <w:rPr>
                <w:rFonts w:ascii="黑体" w:hAnsi="黑体" w:eastAsia="黑体"/>
                <w:color w:val="auto"/>
                <w:sz w:val="21"/>
                <w:szCs w:val="21"/>
              </w:rPr>
              <w:instrText xml:space="preserve"> FORMTEXT </w:instrText>
            </w:r>
            <w:r>
              <w:rPr>
                <w:rFonts w:ascii="黑体" w:hAnsi="黑体" w:eastAsia="黑体"/>
                <w:color w:val="auto"/>
                <w:sz w:val="21"/>
                <w:szCs w:val="21"/>
              </w:rPr>
              <w:fldChar w:fldCharType="separate"/>
            </w:r>
            <w:r>
              <w:rPr>
                <w:rFonts w:ascii="黑体" w:hAnsi="黑体" w:eastAsia="黑体"/>
                <w:color w:val="auto"/>
                <w:sz w:val="21"/>
                <w:szCs w:val="21"/>
              </w:rPr>
              <w:t>L79</w:t>
            </w:r>
            <w:r>
              <w:rPr>
                <w:rFonts w:ascii="黑体" w:hAnsi="黑体" w:eastAsia="黑体"/>
                <w:color w:val="auto"/>
                <w:sz w:val="21"/>
                <w:szCs w:val="21"/>
              </w:rPr>
              <w:fldChar w:fldCharType="end"/>
            </w:r>
            <w:bookmarkEnd w:id="1"/>
          </w:p>
        </w:tc>
      </w:tr>
    </w:tbl>
    <w:p>
      <w:pPr>
        <w:pStyle w:val="55"/>
        <w:framePr w:w="9639" w:h="624" w:hRule="exact" w:hSpace="181" w:vSpace="181" w:wrap="around" w:hAnchor="page" w:x="1305" w:y="2269"/>
        <w:rPr>
          <w:color w:val="auto"/>
        </w:rPr>
      </w:pPr>
      <w:bookmarkStart w:id="2" w:name="_Hlk26473981"/>
      <w:r>
        <w:rPr>
          <w:rFonts w:hint="eastAsia"/>
          <w:color w:val="auto"/>
        </w:rPr>
        <w:t>中华人民共和国国家标准</w:t>
      </w:r>
    </w:p>
    <w:bookmarkEnd w:id="2"/>
    <w:p>
      <w:pPr>
        <w:pStyle w:val="200"/>
        <w:framePr/>
        <w:rPr>
          <w:color w:val="auto"/>
          <w:lang w:val="fr-FR"/>
        </w:rPr>
      </w:pPr>
      <w:r>
        <w:rPr>
          <w:color w:val="auto"/>
        </w:rPr>
        <w:fldChar w:fldCharType="begin">
          <w:ffData>
            <w:name w:val="文字1"/>
            <w:enabled/>
            <w:calcOnExit w:val="0"/>
            <w:textInput>
              <w:default w:val="GB/T"/>
            </w:textInput>
          </w:ffData>
        </w:fldChar>
      </w:r>
      <w:bookmarkStart w:id="3" w:name="文字1"/>
      <w:r>
        <w:rPr>
          <w:color w:val="auto"/>
          <w:lang w:val="fr-FR"/>
        </w:rPr>
        <w:instrText xml:space="preserve"> FORMTEXT </w:instrText>
      </w:r>
      <w:r>
        <w:rPr>
          <w:color w:val="auto"/>
        </w:rPr>
        <w:fldChar w:fldCharType="separate"/>
      </w:r>
      <w:r>
        <w:rPr>
          <w:color w:val="auto"/>
          <w:lang w:val="fr-FR"/>
        </w:rPr>
        <w:t>GB/T</w:t>
      </w:r>
      <w:r>
        <w:rPr>
          <w:color w:val="auto"/>
        </w:rPr>
        <w:fldChar w:fldCharType="end"/>
      </w:r>
      <w:bookmarkEnd w:id="3"/>
      <w:r>
        <w:rPr>
          <w:color w:val="auto"/>
          <w:lang w:val="fr-FR"/>
        </w:rPr>
        <w:t xml:space="preserve"> </w:t>
      </w:r>
      <w:r>
        <w:rPr>
          <w:color w:val="auto"/>
        </w:rPr>
        <w:fldChar w:fldCharType="begin">
          <w:ffData>
            <w:name w:val="NSTD_CODE_F"/>
            <w:enabled/>
            <w:calcOnExit w:val="0"/>
            <w:textInput>
              <w:default w:val="XXXXX"/>
            </w:textInput>
          </w:ffData>
        </w:fldChar>
      </w:r>
      <w:bookmarkStart w:id="4" w:name="NSTD_CODE_F"/>
      <w:r>
        <w:rPr>
          <w:color w:val="auto"/>
          <w:lang w:val="fr-FR"/>
        </w:rPr>
        <w:instrText xml:space="preserve"> FORMTEXT </w:instrText>
      </w:r>
      <w:r>
        <w:rPr>
          <w:color w:val="auto"/>
        </w:rPr>
        <w:fldChar w:fldCharType="separate"/>
      </w:r>
      <w:r>
        <w:rPr>
          <w:color w:val="auto"/>
          <w:lang w:val="fr-FR"/>
        </w:rPr>
        <w:t>XXXXX</w:t>
      </w:r>
      <w:r>
        <w:rPr>
          <w:color w:val="auto"/>
        </w:rPr>
        <w:fldChar w:fldCharType="end"/>
      </w:r>
      <w:bookmarkEnd w:id="4"/>
      <w:r>
        <w:rPr>
          <w:rFonts w:hAnsi="黑体"/>
          <w:color w:val="auto"/>
          <w:lang w:val="fr-FR"/>
        </w:rPr>
        <w:t>—</w:t>
      </w:r>
      <w:r>
        <w:rPr>
          <w:color w:val="auto"/>
        </w:rPr>
        <w:fldChar w:fldCharType="begin">
          <w:ffData>
            <w:name w:val="NSTD_CODE_B"/>
            <w:enabled/>
            <w:calcOnExit w:val="0"/>
            <w:textInput>
              <w:default w:val="XXXX"/>
            </w:textInput>
          </w:ffData>
        </w:fldChar>
      </w:r>
      <w:bookmarkStart w:id="5" w:name="NSTD_CODE_B"/>
      <w:r>
        <w:rPr>
          <w:color w:val="auto"/>
          <w:lang w:val="fr-FR"/>
        </w:rPr>
        <w:instrText xml:space="preserve"> FORMTEXT </w:instrText>
      </w:r>
      <w:r>
        <w:rPr>
          <w:color w:val="auto"/>
        </w:rPr>
        <w:fldChar w:fldCharType="separate"/>
      </w:r>
      <w:r>
        <w:rPr>
          <w:color w:val="auto"/>
          <w:lang w:val="fr-FR"/>
        </w:rPr>
        <w:t>XXXX</w:t>
      </w:r>
      <w:r>
        <w:rPr>
          <w:color w:val="auto"/>
        </w:rPr>
        <w:fldChar w:fldCharType="end"/>
      </w:r>
      <w:bookmarkEnd w:id="5"/>
    </w:p>
    <w:p>
      <w:pPr>
        <w:pStyle w:val="201"/>
        <w:framePr/>
        <w:rPr>
          <w:rFonts w:hAnsi="黑体"/>
          <w:color w:val="auto"/>
        </w:rPr>
      </w:pPr>
      <w:r>
        <w:rPr>
          <w:rFonts w:hAnsi="黑体"/>
          <w:color w:val="auto"/>
        </w:rPr>
        <w:fldChar w:fldCharType="begin">
          <w:ffData>
            <w:name w:val="OSTD_CODE"/>
            <w:enabled/>
            <w:calcOnExit w:val="0"/>
            <w:textInput/>
          </w:ffData>
        </w:fldChar>
      </w:r>
      <w:bookmarkStart w:id="6" w:name="OSTD_CODE"/>
      <w:r>
        <w:rPr>
          <w:rFonts w:hAnsi="黑体"/>
          <w:color w:val="auto"/>
        </w:rPr>
        <w:instrText xml:space="preserve"> FORMTEXT </w:instrText>
      </w:r>
      <w:r>
        <w:rPr>
          <w:rFonts w:hAnsi="黑体"/>
          <w:color w:val="auto"/>
        </w:rPr>
        <w:fldChar w:fldCharType="separate"/>
      </w:r>
      <w:r>
        <w:rPr>
          <w:rFonts w:hAnsi="黑体"/>
          <w:color w:val="auto"/>
        </w:rPr>
        <w:t>     </w:t>
      </w:r>
      <w:r>
        <w:rPr>
          <w:rFonts w:hAnsi="黑体"/>
          <w:color w:val="auto"/>
        </w:rPr>
        <w:fldChar w:fldCharType="end"/>
      </w:r>
      <w:bookmarkEnd w:id="6"/>
    </w:p>
    <w:p>
      <w:pPr>
        <w:spacing w:line="240" w:lineRule="auto"/>
        <w:ind w:left="8080"/>
        <w:rPr>
          <w:rFonts w:ascii="黑体" w:hAnsi="黑体" w:eastAsia="黑体"/>
          <w:color w:val="auto"/>
          <w:kern w:val="0"/>
          <w:sz w:val="52"/>
          <w:szCs w:val="20"/>
        </w:rPr>
      </w:pPr>
      <w:r>
        <w:rPr>
          <w:rFonts w:ascii="黑体" w:hAnsi="黑体" w:eastAsia="黑体"/>
          <w:color w:val="auto"/>
          <w:kern w:val="0"/>
          <w:sz w:val="52"/>
          <w:szCs w:val="2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r>
        <w:rPr>
          <w:rFonts w:ascii="黑体" w:hAnsi="黑体" w:eastAsia="黑体"/>
          <w:color w:val="auto"/>
          <w:kern w:val="0"/>
          <w:sz w:val="52"/>
          <w:szCs w:val="20"/>
        </w:rPr>
        <w:drawing>
          <wp:anchor distT="0" distB="0" distL="114300" distR="114300" simplePos="0" relativeHeight="251659264" behindDoc="0" locked="0" layoutInCell="1" allowOverlap="0">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pPr>
        <w:pStyle w:val="55"/>
        <w:framePr w:w="9639" w:h="6976" w:hRule="exact" w:hSpace="0" w:vSpace="0" w:wrap="around" w:hAnchor="page" w:x="1701" w:y="6031"/>
        <w:jc w:val="center"/>
        <w:rPr>
          <w:rFonts w:ascii="黑体" w:hAnsi="黑体" w:eastAsia="黑体"/>
          <w:b w:val="0"/>
          <w:bCs w:val="0"/>
          <w:color w:val="auto"/>
          <w:w w:val="100"/>
        </w:rPr>
      </w:pPr>
    </w:p>
    <w:p>
      <w:pPr>
        <w:pStyle w:val="202"/>
        <w:framePr w:h="6974" w:hRule="exact" w:wrap="around" w:x="1419" w:anchorLock="1"/>
        <w:rPr>
          <w:color w:val="auto"/>
        </w:rPr>
      </w:pPr>
      <w:r>
        <w:rPr>
          <w:color w:val="auto"/>
        </w:rPr>
        <w:fldChar w:fldCharType="begin">
          <w:ffData>
            <w:name w:val="CSTD_NAME"/>
            <w:enabled/>
            <w:calcOnExit w:val="0"/>
            <w:textInput>
              <w:default w:val="点击此处添加标准名称"/>
            </w:textInput>
          </w:ffData>
        </w:fldChar>
      </w:r>
      <w:bookmarkStart w:id="7" w:name="CSTD_NAME"/>
      <w:r>
        <w:rPr>
          <w:color w:val="auto"/>
        </w:rPr>
        <w:instrText xml:space="preserve"> FORMTEXT </w:instrText>
      </w:r>
      <w:r>
        <w:rPr>
          <w:color w:val="auto"/>
        </w:rPr>
        <w:fldChar w:fldCharType="separate"/>
      </w:r>
      <w:r>
        <w:rPr>
          <w:color w:val="auto"/>
        </w:rPr>
        <w:t>物流园区数字化通用技术要求</w:t>
      </w:r>
      <w:r>
        <w:rPr>
          <w:color w:val="auto"/>
        </w:rPr>
        <w:fldChar w:fldCharType="end"/>
      </w:r>
      <w:bookmarkEnd w:id="7"/>
    </w:p>
    <w:p>
      <w:pPr>
        <w:framePr w:w="9639" w:h="6974" w:hRule="exact" w:wrap="around" w:vAnchor="page" w:hAnchor="page" w:x="1419" w:y="6408" w:anchorLock="1"/>
        <w:ind w:left="-1418"/>
        <w:rPr>
          <w:color w:val="auto"/>
        </w:rPr>
      </w:pPr>
    </w:p>
    <w:p>
      <w:pPr>
        <w:pStyle w:val="130"/>
        <w:framePr w:w="9639" w:h="6974" w:hRule="exact" w:wrap="around" w:vAnchor="page" w:hAnchor="page" w:x="1419" w:y="6408" w:anchorLock="1"/>
        <w:textAlignment w:val="bottom"/>
        <w:rPr>
          <w:rFonts w:eastAsia="黑体"/>
          <w:color w:val="auto"/>
          <w:szCs w:val="28"/>
        </w:rPr>
      </w:pPr>
      <w:r>
        <w:rPr>
          <w:rFonts w:eastAsia="黑体"/>
          <w:color w:val="auto"/>
          <w:szCs w:val="28"/>
        </w:rPr>
        <w:fldChar w:fldCharType="begin">
          <w:ffData>
            <w:name w:val="ESTD_NAME"/>
            <w:enabled/>
            <w:calcOnExit w:val="0"/>
            <w:textInput>
              <w:default w:val="点击此处添加标准名称的英文译名"/>
            </w:textInput>
          </w:ffData>
        </w:fldChar>
      </w:r>
      <w:bookmarkStart w:id="8" w:name="ESTD_NAME"/>
      <w:r>
        <w:rPr>
          <w:rFonts w:eastAsia="黑体"/>
          <w:color w:val="auto"/>
          <w:szCs w:val="28"/>
        </w:rPr>
        <w:instrText xml:space="preserve"> FORMTEXT </w:instrText>
      </w:r>
      <w:r>
        <w:rPr>
          <w:rFonts w:eastAsia="黑体"/>
          <w:color w:val="auto"/>
          <w:szCs w:val="28"/>
        </w:rPr>
        <w:fldChar w:fldCharType="separate"/>
      </w:r>
      <w:r>
        <w:rPr>
          <w:rFonts w:eastAsia="黑体"/>
          <w:color w:val="auto"/>
          <w:szCs w:val="28"/>
        </w:rPr>
        <w:t>G</w:t>
      </w:r>
      <w:r>
        <w:rPr>
          <w:rFonts w:hint="eastAsia" w:eastAsia="黑体"/>
          <w:color w:val="auto"/>
          <w:szCs w:val="28"/>
        </w:rPr>
        <w:t>eneral</w:t>
      </w:r>
      <w:r>
        <w:rPr>
          <w:rFonts w:eastAsia="黑体"/>
          <w:color w:val="auto"/>
          <w:szCs w:val="28"/>
        </w:rPr>
        <w:t xml:space="preserve"> </w:t>
      </w:r>
      <w:r>
        <w:rPr>
          <w:rFonts w:hint="eastAsia" w:eastAsia="黑体"/>
          <w:color w:val="auto"/>
          <w:szCs w:val="28"/>
        </w:rPr>
        <w:t>t</w:t>
      </w:r>
      <w:r>
        <w:rPr>
          <w:rFonts w:eastAsia="黑体"/>
          <w:color w:val="auto"/>
          <w:szCs w:val="28"/>
        </w:rPr>
        <w:t>echnical requirement</w:t>
      </w:r>
      <w:r>
        <w:rPr>
          <w:rFonts w:hint="eastAsia" w:eastAsia="黑体"/>
          <w:color w:val="auto"/>
          <w:szCs w:val="28"/>
        </w:rPr>
        <w:t>s</w:t>
      </w:r>
      <w:r>
        <w:rPr>
          <w:rFonts w:eastAsia="黑体"/>
          <w:color w:val="auto"/>
          <w:szCs w:val="28"/>
        </w:rPr>
        <w:t xml:space="preserve"> for logistics park digitization</w:t>
      </w:r>
      <w:r>
        <w:rPr>
          <w:rFonts w:eastAsia="黑体"/>
          <w:color w:val="auto"/>
          <w:szCs w:val="28"/>
        </w:rPr>
        <w:fldChar w:fldCharType="end"/>
      </w:r>
      <w:bookmarkEnd w:id="8"/>
    </w:p>
    <w:p>
      <w:pPr>
        <w:framePr w:w="9639" w:h="6974" w:hRule="exact" w:wrap="around" w:vAnchor="page" w:hAnchor="page" w:x="1419" w:y="6408" w:anchorLock="1"/>
        <w:spacing w:line="760" w:lineRule="exact"/>
        <w:ind w:left="-1418"/>
        <w:rPr>
          <w:color w:val="auto"/>
        </w:rPr>
      </w:pPr>
    </w:p>
    <w:p>
      <w:pPr>
        <w:pStyle w:val="130"/>
        <w:framePr w:w="9639" w:h="6974" w:hRule="exact" w:wrap="around" w:vAnchor="page" w:hAnchor="page" w:x="1419" w:y="6408" w:anchorLock="1"/>
        <w:textAlignment w:val="bottom"/>
        <w:rPr>
          <w:rFonts w:eastAsia="黑体"/>
          <w:color w:val="auto"/>
          <w:szCs w:val="28"/>
        </w:rPr>
      </w:pPr>
      <w:r>
        <w:rPr>
          <w:rFonts w:eastAsia="黑体"/>
          <w:color w:val="auto"/>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color w:val="auto"/>
          <w:szCs w:val="28"/>
        </w:rPr>
        <w:instrText xml:space="preserve"> FORMTEXT </w:instrText>
      </w:r>
      <w:r>
        <w:rPr>
          <w:rFonts w:eastAsia="黑体"/>
          <w:color w:val="auto"/>
          <w:szCs w:val="28"/>
        </w:rPr>
        <w:fldChar w:fldCharType="separate"/>
      </w:r>
      <w:r>
        <w:rPr>
          <w:rFonts w:hint="eastAsia" w:eastAsia="黑体"/>
          <w:color w:val="auto"/>
          <w:szCs w:val="28"/>
        </w:rPr>
        <w:t>(点击此处添加与国际标准一致性程度的标识)</w:t>
      </w:r>
      <w:r>
        <w:rPr>
          <w:rFonts w:eastAsia="黑体"/>
          <w:color w:val="auto"/>
          <w:szCs w:val="28"/>
        </w:rPr>
        <w:fldChar w:fldCharType="end"/>
      </w:r>
      <w:bookmarkEnd w:id="9"/>
    </w:p>
    <w:p>
      <w:pPr>
        <w:pStyle w:val="130"/>
        <w:framePr w:w="9639" w:h="6974" w:hRule="exact" w:wrap="around" w:vAnchor="page" w:hAnchor="page" w:x="1419" w:y="6408" w:anchorLock="1"/>
        <w:spacing w:before="180" w:line="240" w:lineRule="atLeast"/>
        <w:textAlignment w:val="bottom"/>
        <w:rPr>
          <w:color w:val="auto"/>
          <w:sz w:val="21"/>
          <w:szCs w:val="28"/>
        </w:rPr>
      </w:pPr>
      <w:r>
        <w:rPr>
          <w:rFonts w:hint="eastAsia"/>
          <w:color w:val="auto"/>
          <w:sz w:val="21"/>
          <w:szCs w:val="28"/>
        </w:rPr>
        <w:t>（征求意见稿）</w:t>
      </w:r>
      <w:r>
        <w:rPr>
          <w:color w:val="auto"/>
          <w:sz w:val="21"/>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10" w:name="下拉1"/>
      <w:r>
        <w:rPr>
          <w:color w:val="auto"/>
          <w:sz w:val="21"/>
          <w:szCs w:val="28"/>
        </w:rPr>
        <w:instrText xml:space="preserve"> FORMDROPDOWN </w:instrText>
      </w:r>
      <w:r>
        <w:rPr>
          <w:color w:val="auto"/>
          <w:sz w:val="21"/>
          <w:szCs w:val="28"/>
        </w:rPr>
        <w:fldChar w:fldCharType="separate"/>
      </w:r>
      <w:r>
        <w:rPr>
          <w:color w:val="auto"/>
          <w:sz w:val="21"/>
          <w:szCs w:val="28"/>
        </w:rPr>
        <w:fldChar w:fldCharType="end"/>
      </w:r>
      <w:bookmarkEnd w:id="10"/>
    </w:p>
    <w:p>
      <w:pPr>
        <w:pStyle w:val="130"/>
        <w:framePr w:w="9639" w:h="6974" w:hRule="exact" w:wrap="around" w:vAnchor="page" w:hAnchor="page" w:x="1419" w:y="6408" w:anchorLock="1"/>
        <w:spacing w:before="180" w:line="240" w:lineRule="atLeast"/>
        <w:textAlignment w:val="bottom"/>
        <w:rPr>
          <w:color w:val="auto"/>
          <w:sz w:val="21"/>
          <w:szCs w:val="28"/>
        </w:rPr>
      </w:pPr>
      <w:r>
        <w:rPr>
          <w:color w:val="auto"/>
          <w:sz w:val="21"/>
          <w:szCs w:val="28"/>
        </w:rPr>
        <w:fldChar w:fldCharType="begin">
          <w:ffData>
            <w:name w:val="CMPLSH_DATE"/>
            <w:enabled/>
            <w:calcOnExit w:val="0"/>
            <w:textInput/>
          </w:ffData>
        </w:fldChar>
      </w:r>
      <w:bookmarkStart w:id="11" w:name="CMPLSH_DATE"/>
      <w:r>
        <w:rPr>
          <w:color w:val="auto"/>
          <w:sz w:val="21"/>
          <w:szCs w:val="28"/>
        </w:rPr>
        <w:instrText xml:space="preserve"> FORMTEXT </w:instrText>
      </w:r>
      <w:r>
        <w:rPr>
          <w:color w:val="auto"/>
          <w:sz w:val="21"/>
          <w:szCs w:val="28"/>
        </w:rPr>
        <w:fldChar w:fldCharType="separate"/>
      </w:r>
      <w:r>
        <w:rPr>
          <w:rFonts w:hint="eastAsia"/>
          <w:color w:val="auto"/>
          <w:sz w:val="21"/>
          <w:szCs w:val="28"/>
        </w:rPr>
        <w:t>（本草案完成时间：2</w:t>
      </w:r>
      <w:r>
        <w:rPr>
          <w:color w:val="auto"/>
          <w:sz w:val="21"/>
          <w:szCs w:val="28"/>
        </w:rPr>
        <w:t>023</w:t>
      </w:r>
      <w:r>
        <w:rPr>
          <w:rFonts w:hint="eastAsia"/>
          <w:color w:val="auto"/>
          <w:sz w:val="21"/>
          <w:szCs w:val="28"/>
        </w:rPr>
        <w:t>年1</w:t>
      </w:r>
      <w:r>
        <w:rPr>
          <w:color w:val="auto"/>
          <w:sz w:val="21"/>
          <w:szCs w:val="28"/>
        </w:rPr>
        <w:t>1</w:t>
      </w:r>
      <w:r>
        <w:rPr>
          <w:rFonts w:hint="eastAsia"/>
          <w:color w:val="auto"/>
          <w:sz w:val="21"/>
          <w:szCs w:val="28"/>
        </w:rPr>
        <w:t>月</w:t>
      </w:r>
      <w:r>
        <w:rPr>
          <w:color w:val="auto"/>
          <w:sz w:val="21"/>
          <w:szCs w:val="28"/>
        </w:rPr>
        <w:t>24</w:t>
      </w:r>
      <w:r>
        <w:rPr>
          <w:rFonts w:hint="eastAsia"/>
          <w:color w:val="auto"/>
          <w:sz w:val="21"/>
          <w:szCs w:val="28"/>
        </w:rPr>
        <w:t>日）</w:t>
      </w:r>
      <w:r>
        <w:rPr>
          <w:color w:val="auto"/>
          <w:sz w:val="21"/>
          <w:szCs w:val="28"/>
        </w:rPr>
        <w:fldChar w:fldCharType="end"/>
      </w:r>
      <w:bookmarkEnd w:id="11"/>
    </w:p>
    <w:p>
      <w:pPr>
        <w:pStyle w:val="130"/>
        <w:framePr w:w="9639" w:h="6974" w:hRule="exact" w:wrap="around" w:vAnchor="page" w:hAnchor="page" w:x="1419" w:y="6408" w:anchorLock="1"/>
        <w:spacing w:before="720" w:beforeLines="300" w:after="72" w:afterLines="30" w:line="240" w:lineRule="auto"/>
        <w:textAlignment w:val="bottom"/>
        <w:rPr>
          <w:b/>
          <w:color w:val="auto"/>
          <w:sz w:val="21"/>
          <w:szCs w:val="28"/>
        </w:rPr>
      </w:pPr>
      <w:r>
        <w:rPr>
          <w:b/>
          <w:color w:val="auto"/>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2" w:name="下拉2"/>
      <w:r>
        <w:rPr>
          <w:b/>
          <w:color w:val="auto"/>
          <w:sz w:val="21"/>
          <w:szCs w:val="28"/>
        </w:rPr>
        <w:instrText xml:space="preserve"> FORMDROPDOWN </w:instrText>
      </w:r>
      <w:r>
        <w:rPr>
          <w:b/>
          <w:color w:val="auto"/>
          <w:sz w:val="21"/>
          <w:szCs w:val="28"/>
        </w:rPr>
        <w:fldChar w:fldCharType="separate"/>
      </w:r>
      <w:r>
        <w:rPr>
          <w:b/>
          <w:color w:val="auto"/>
          <w:sz w:val="21"/>
          <w:szCs w:val="28"/>
        </w:rPr>
        <w:fldChar w:fldCharType="end"/>
      </w:r>
      <w:bookmarkEnd w:id="12"/>
    </w:p>
    <w:p>
      <w:pPr>
        <w:pStyle w:val="198"/>
        <w:framePr w:wrap="around" w:y="14176"/>
        <w:rPr>
          <w:color w:val="auto"/>
        </w:rPr>
      </w:pPr>
      <w:r>
        <w:rPr>
          <w:rFonts w:ascii="黑体"/>
          <w:color w:val="auto"/>
        </w:rPr>
        <w:fldChar w:fldCharType="begin">
          <w:ffData>
            <w:name w:val="PLSH_DATE_Y"/>
            <w:enabled/>
            <w:calcOnExit w:val="0"/>
            <w:textInput>
              <w:default w:val="XXXX"/>
              <w:maxLength w:val="4"/>
            </w:textInput>
          </w:ffData>
        </w:fldChar>
      </w:r>
      <w:bookmarkStart w:id="13" w:name="PLSH_DATE_Y"/>
      <w:r>
        <w:rPr>
          <w:rFonts w:ascii="黑体"/>
          <w:color w:val="auto"/>
        </w:rPr>
        <w:instrText xml:space="preserve"> FORMTEXT </w:instrText>
      </w:r>
      <w:r>
        <w:rPr>
          <w:rFonts w:ascii="黑体"/>
          <w:color w:val="auto"/>
        </w:rPr>
        <w:fldChar w:fldCharType="separate"/>
      </w:r>
      <w:r>
        <w:rPr>
          <w:rFonts w:ascii="黑体"/>
          <w:color w:val="auto"/>
        </w:rPr>
        <w:t>XXXX</w:t>
      </w:r>
      <w:r>
        <w:rPr>
          <w:rFonts w:ascii="黑体"/>
          <w:color w:val="auto"/>
        </w:rPr>
        <w:fldChar w:fldCharType="end"/>
      </w:r>
      <w:bookmarkEnd w:id="13"/>
      <w:r>
        <w:rPr>
          <w:color w:val="auto"/>
        </w:rPr>
        <w:t xml:space="preserve"> </w:t>
      </w:r>
      <w:r>
        <w:rPr>
          <w:rFonts w:ascii="黑体"/>
          <w:color w:val="auto"/>
        </w:rPr>
        <w:t>-</w:t>
      </w:r>
      <w:r>
        <w:rPr>
          <w:color w:val="auto"/>
        </w:rPr>
        <w:t xml:space="preserve"> </w:t>
      </w:r>
      <w:r>
        <w:rPr>
          <w:rFonts w:ascii="黑体"/>
          <w:color w:val="auto"/>
        </w:rPr>
        <w:fldChar w:fldCharType="begin">
          <w:ffData>
            <w:name w:val="PLSH_DATE_M"/>
            <w:enabled/>
            <w:calcOnExit w:val="0"/>
            <w:textInput>
              <w:default w:val="XX"/>
              <w:maxLength w:val="2"/>
            </w:textInput>
          </w:ffData>
        </w:fldChar>
      </w:r>
      <w:bookmarkStart w:id="14" w:name="PLSH_DATE_M"/>
      <w:r>
        <w:rPr>
          <w:rFonts w:ascii="黑体"/>
          <w:color w:val="auto"/>
        </w:rPr>
        <w:instrText xml:space="preserve"> FORMTEXT </w:instrText>
      </w:r>
      <w:r>
        <w:rPr>
          <w:rFonts w:ascii="黑体"/>
          <w:color w:val="auto"/>
        </w:rPr>
        <w:fldChar w:fldCharType="separate"/>
      </w:r>
      <w:r>
        <w:rPr>
          <w:rFonts w:ascii="黑体"/>
          <w:color w:val="auto"/>
        </w:rPr>
        <w:t>XX</w:t>
      </w:r>
      <w:r>
        <w:rPr>
          <w:rFonts w:ascii="黑体"/>
          <w:color w:val="auto"/>
        </w:rPr>
        <w:fldChar w:fldCharType="end"/>
      </w:r>
      <w:bookmarkEnd w:id="14"/>
      <w:r>
        <w:rPr>
          <w:color w:val="auto"/>
        </w:rPr>
        <w:t xml:space="preserve"> </w:t>
      </w:r>
      <w:r>
        <w:rPr>
          <w:rFonts w:ascii="黑体"/>
          <w:color w:val="auto"/>
        </w:rPr>
        <w:t>-</w:t>
      </w:r>
      <w:r>
        <w:rPr>
          <w:color w:val="auto"/>
        </w:rPr>
        <w:t xml:space="preserve"> </w:t>
      </w:r>
      <w:r>
        <w:rPr>
          <w:rFonts w:ascii="黑体"/>
          <w:color w:val="auto"/>
        </w:rPr>
        <w:fldChar w:fldCharType="begin">
          <w:ffData>
            <w:name w:val="PLSH_DATE_D"/>
            <w:enabled/>
            <w:calcOnExit w:val="0"/>
            <w:textInput>
              <w:default w:val="XX"/>
              <w:maxLength w:val="2"/>
            </w:textInput>
          </w:ffData>
        </w:fldChar>
      </w:r>
      <w:bookmarkStart w:id="15" w:name="PLSH_DATE_D"/>
      <w:r>
        <w:rPr>
          <w:rFonts w:ascii="黑体"/>
          <w:color w:val="auto"/>
        </w:rPr>
        <w:instrText xml:space="preserve"> FORMTEXT </w:instrText>
      </w:r>
      <w:r>
        <w:rPr>
          <w:rFonts w:ascii="黑体"/>
          <w:color w:val="auto"/>
        </w:rPr>
        <w:fldChar w:fldCharType="separate"/>
      </w:r>
      <w:r>
        <w:rPr>
          <w:rFonts w:ascii="黑体"/>
          <w:color w:val="auto"/>
        </w:rPr>
        <w:t>XX</w:t>
      </w:r>
      <w:r>
        <w:rPr>
          <w:rFonts w:ascii="黑体"/>
          <w:color w:val="auto"/>
        </w:rPr>
        <w:fldChar w:fldCharType="end"/>
      </w:r>
      <w:bookmarkEnd w:id="15"/>
      <w:r>
        <w:rPr>
          <w:rFonts w:hint="eastAsia"/>
          <w:color w:val="auto"/>
        </w:rPr>
        <w:t>发布</w:t>
      </w:r>
    </w:p>
    <w:p>
      <w:pPr>
        <w:pStyle w:val="199"/>
        <w:framePr w:wrap="around" w:y="14176"/>
        <w:rPr>
          <w:color w:val="auto"/>
        </w:rPr>
      </w:pPr>
      <w:r>
        <w:rPr>
          <w:rFonts w:ascii="黑体"/>
          <w:color w:val="auto"/>
        </w:rPr>
        <w:fldChar w:fldCharType="begin">
          <w:ffData>
            <w:name w:val="CROT_DATE_Y"/>
            <w:enabled/>
            <w:calcOnExit w:val="0"/>
            <w:textInput>
              <w:default w:val="XXXX"/>
              <w:maxLength w:val="4"/>
            </w:textInput>
          </w:ffData>
        </w:fldChar>
      </w:r>
      <w:bookmarkStart w:id="16" w:name="CROT_DATE_Y"/>
      <w:r>
        <w:rPr>
          <w:rFonts w:ascii="黑体"/>
          <w:color w:val="auto"/>
        </w:rPr>
        <w:instrText xml:space="preserve"> FORMTEXT </w:instrText>
      </w:r>
      <w:r>
        <w:rPr>
          <w:rFonts w:ascii="黑体"/>
          <w:color w:val="auto"/>
        </w:rPr>
        <w:fldChar w:fldCharType="separate"/>
      </w:r>
      <w:r>
        <w:rPr>
          <w:rFonts w:ascii="黑体"/>
          <w:color w:val="auto"/>
        </w:rPr>
        <w:t>XXXX</w:t>
      </w:r>
      <w:r>
        <w:rPr>
          <w:rFonts w:ascii="黑体"/>
          <w:color w:val="auto"/>
        </w:rPr>
        <w:fldChar w:fldCharType="end"/>
      </w:r>
      <w:bookmarkEnd w:id="16"/>
      <w:r>
        <w:rPr>
          <w:color w:val="auto"/>
        </w:rPr>
        <w:t xml:space="preserve"> </w:t>
      </w:r>
      <w:r>
        <w:rPr>
          <w:rFonts w:ascii="黑体"/>
          <w:color w:val="auto"/>
        </w:rPr>
        <w:t>-</w:t>
      </w:r>
      <w:r>
        <w:rPr>
          <w:color w:val="auto"/>
        </w:rPr>
        <w:t xml:space="preserve"> </w:t>
      </w:r>
      <w:r>
        <w:rPr>
          <w:rFonts w:ascii="黑体"/>
          <w:color w:val="auto"/>
        </w:rPr>
        <w:fldChar w:fldCharType="begin">
          <w:ffData>
            <w:name w:val="CROT_DATE_M"/>
            <w:enabled/>
            <w:calcOnExit w:val="0"/>
            <w:textInput>
              <w:default w:val="XX"/>
              <w:maxLength w:val="2"/>
            </w:textInput>
          </w:ffData>
        </w:fldChar>
      </w:r>
      <w:bookmarkStart w:id="17" w:name="CROT_DATE_M"/>
      <w:r>
        <w:rPr>
          <w:rFonts w:ascii="黑体"/>
          <w:color w:val="auto"/>
        </w:rPr>
        <w:instrText xml:space="preserve"> FORMTEXT </w:instrText>
      </w:r>
      <w:r>
        <w:rPr>
          <w:rFonts w:ascii="黑体"/>
          <w:color w:val="auto"/>
        </w:rPr>
        <w:fldChar w:fldCharType="separate"/>
      </w:r>
      <w:r>
        <w:rPr>
          <w:rFonts w:ascii="黑体"/>
          <w:color w:val="auto"/>
        </w:rPr>
        <w:t>XX</w:t>
      </w:r>
      <w:r>
        <w:rPr>
          <w:rFonts w:ascii="黑体"/>
          <w:color w:val="auto"/>
        </w:rPr>
        <w:fldChar w:fldCharType="end"/>
      </w:r>
      <w:bookmarkEnd w:id="17"/>
      <w:r>
        <w:rPr>
          <w:color w:val="auto"/>
        </w:rPr>
        <w:t xml:space="preserve"> </w:t>
      </w:r>
      <w:r>
        <w:rPr>
          <w:rFonts w:ascii="黑体"/>
          <w:color w:val="auto"/>
        </w:rPr>
        <w:t>-</w:t>
      </w:r>
      <w:r>
        <w:rPr>
          <w:color w:val="auto"/>
        </w:rPr>
        <w:t xml:space="preserve"> </w:t>
      </w:r>
      <w:r>
        <w:rPr>
          <w:rFonts w:ascii="黑体"/>
          <w:color w:val="auto"/>
        </w:rPr>
        <w:fldChar w:fldCharType="begin">
          <w:ffData>
            <w:name w:val="CROT_DATE_D"/>
            <w:enabled/>
            <w:calcOnExit w:val="0"/>
            <w:textInput>
              <w:default w:val="XX"/>
              <w:maxLength w:val="2"/>
            </w:textInput>
          </w:ffData>
        </w:fldChar>
      </w:r>
      <w:bookmarkStart w:id="18" w:name="CROT_DATE_D"/>
      <w:r>
        <w:rPr>
          <w:rFonts w:ascii="黑体"/>
          <w:color w:val="auto"/>
        </w:rPr>
        <w:instrText xml:space="preserve"> FORMTEXT </w:instrText>
      </w:r>
      <w:r>
        <w:rPr>
          <w:rFonts w:ascii="黑体"/>
          <w:color w:val="auto"/>
        </w:rPr>
        <w:fldChar w:fldCharType="separate"/>
      </w:r>
      <w:r>
        <w:rPr>
          <w:rFonts w:ascii="黑体"/>
          <w:color w:val="auto"/>
        </w:rPr>
        <w:t>XX</w:t>
      </w:r>
      <w:r>
        <w:rPr>
          <w:rFonts w:ascii="黑体"/>
          <w:color w:val="auto"/>
        </w:rPr>
        <w:fldChar w:fldCharType="end"/>
      </w:r>
      <w:bookmarkEnd w:id="18"/>
      <w:r>
        <w:rPr>
          <w:rFonts w:hint="eastAsia"/>
          <w:color w:val="auto"/>
        </w:rPr>
        <w:t>实施</w:t>
      </w:r>
    </w:p>
    <w:p>
      <w:pPr>
        <w:rPr>
          <w:rFonts w:ascii="宋体" w:hAnsi="宋体"/>
          <w:color w:val="auto"/>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color w:val="auto"/>
          <w:sz w:val="28"/>
          <w:szCs w:val="28"/>
        </w:rPr>
        <w:drawing>
          <wp:anchor distT="0" distB="0" distL="114300" distR="114300" simplePos="0" relativeHeight="251662336" behindDoc="0" locked="0" layoutInCell="1" allowOverlap="1">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hint="eastAsia" w:ascii="宋体" w:hAnsi="宋体"/>
          <w:color w:val="auto"/>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r>
        <w:rPr>
          <w:rFonts w:hint="eastAsia" w:ascii="宋体" w:hAnsi="宋体"/>
          <w:color w:val="auto"/>
          <w:sz w:val="28"/>
          <w:szCs w:val="28"/>
        </w:rPr>
        <w:t>`</w:t>
      </w:r>
    </w:p>
    <w:p>
      <w:pPr>
        <w:pStyle w:val="96"/>
        <w:spacing w:after="468"/>
        <w:rPr>
          <w:color w:val="auto"/>
        </w:rPr>
      </w:pPr>
      <w:bookmarkStart w:id="19" w:name="BookMark1"/>
      <w:bookmarkStart w:id="20" w:name="_Toc93173124"/>
      <w:bookmarkStart w:id="21" w:name="_Toc93145579"/>
      <w:r>
        <w:rPr>
          <w:rFonts w:hint="eastAsia"/>
          <w:color w:val="auto"/>
          <w:spacing w:val="320"/>
        </w:rPr>
        <w:t>目</w:t>
      </w:r>
      <w:r>
        <w:rPr>
          <w:rFonts w:hint="eastAsia"/>
          <w:color w:val="auto"/>
        </w:rPr>
        <w:t>次</w:t>
      </w:r>
    </w:p>
    <w:p>
      <w:pPr>
        <w:pStyle w:val="21"/>
        <w:tabs>
          <w:tab w:val="right" w:leader="dot" w:pos="9344"/>
        </w:tabs>
        <w:spacing w:line="340" w:lineRule="exact"/>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TOC \o "1-1" \h \t "标准文件_一级条标题,2,标准文件_附录一级条标题,2," </w:instrText>
      </w:r>
      <w:r>
        <w:rPr>
          <w:color w:val="auto"/>
        </w:rPr>
        <w:fldChar w:fldCharType="separate"/>
      </w:r>
      <w:r>
        <w:rPr>
          <w:color w:val="auto"/>
        </w:rPr>
        <w:fldChar w:fldCharType="begin"/>
      </w:r>
      <w:r>
        <w:rPr>
          <w:color w:val="auto"/>
        </w:rPr>
        <w:instrText xml:space="preserve"> HYPERLINK \l "_Toc151721678" </w:instrText>
      </w:r>
      <w:r>
        <w:rPr>
          <w:color w:val="auto"/>
        </w:rPr>
        <w:fldChar w:fldCharType="separate"/>
      </w:r>
      <w:r>
        <w:rPr>
          <w:rStyle w:val="36"/>
          <w:color w:val="auto"/>
          <w:spacing w:val="320"/>
        </w:rPr>
        <w:t>前</w:t>
      </w:r>
      <w:r>
        <w:rPr>
          <w:rStyle w:val="36"/>
          <w:color w:val="auto"/>
        </w:rPr>
        <w:t>言</w:t>
      </w:r>
      <w:r>
        <w:rPr>
          <w:color w:val="auto"/>
        </w:rPr>
        <w:tab/>
      </w:r>
      <w:r>
        <w:rPr>
          <w:color w:val="auto"/>
        </w:rPr>
        <w:fldChar w:fldCharType="begin"/>
      </w:r>
      <w:r>
        <w:rPr>
          <w:color w:val="auto"/>
        </w:rPr>
        <w:instrText xml:space="preserve"> PAGEREF _Toc151721678 \h </w:instrText>
      </w:r>
      <w:r>
        <w:rPr>
          <w:color w:val="auto"/>
        </w:rPr>
        <w:fldChar w:fldCharType="separate"/>
      </w:r>
      <w:r>
        <w:rPr>
          <w:color w:val="auto"/>
        </w:rPr>
        <w:t>III</w:t>
      </w:r>
      <w:r>
        <w:rPr>
          <w:color w:val="auto"/>
        </w:rPr>
        <w:fldChar w:fldCharType="end"/>
      </w:r>
      <w:r>
        <w:rPr>
          <w:color w:val="auto"/>
        </w:rPr>
        <w:fldChar w:fldCharType="end"/>
      </w:r>
    </w:p>
    <w:p>
      <w:pPr>
        <w:pStyle w:val="21"/>
        <w:tabs>
          <w:tab w:val="right" w:leader="dot" w:pos="9344"/>
        </w:tabs>
        <w:spacing w:line="340" w:lineRule="exact"/>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"_Toc151721679" </w:instrText>
      </w:r>
      <w:r>
        <w:rPr>
          <w:color w:val="auto"/>
        </w:rPr>
        <w:fldChar w:fldCharType="separate"/>
      </w:r>
      <w:r>
        <w:rPr>
          <w:rStyle w:val="36"/>
          <w:color w:val="auto"/>
        </w:rPr>
        <w:t>1 范围</w:t>
      </w:r>
      <w:r>
        <w:rPr>
          <w:color w:val="auto"/>
        </w:rPr>
        <w:tab/>
      </w:r>
      <w:r>
        <w:rPr>
          <w:color w:val="auto"/>
        </w:rPr>
        <w:fldChar w:fldCharType="begin"/>
      </w:r>
      <w:r>
        <w:rPr>
          <w:color w:val="auto"/>
        </w:rPr>
        <w:instrText xml:space="preserve"> PAGEREF _Toc151721679 \h </w:instrText>
      </w:r>
      <w:r>
        <w:rPr>
          <w:color w:val="auto"/>
        </w:rPr>
        <w:fldChar w:fldCharType="separate"/>
      </w:r>
      <w:r>
        <w:rPr>
          <w:color w:val="auto"/>
        </w:rPr>
        <w:t>4</w:t>
      </w:r>
      <w:r>
        <w:rPr>
          <w:color w:val="auto"/>
        </w:rPr>
        <w:fldChar w:fldCharType="end"/>
      </w:r>
      <w:r>
        <w:rPr>
          <w:color w:val="auto"/>
        </w:rPr>
        <w:fldChar w:fldCharType="end"/>
      </w:r>
    </w:p>
    <w:p>
      <w:pPr>
        <w:pStyle w:val="21"/>
        <w:tabs>
          <w:tab w:val="right" w:leader="dot" w:pos="9344"/>
        </w:tabs>
        <w:spacing w:line="340" w:lineRule="exact"/>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"_Toc151721680" </w:instrText>
      </w:r>
      <w:r>
        <w:rPr>
          <w:color w:val="auto"/>
        </w:rPr>
        <w:fldChar w:fldCharType="separate"/>
      </w:r>
      <w:r>
        <w:rPr>
          <w:rStyle w:val="36"/>
          <w:color w:val="auto"/>
        </w:rPr>
        <w:t>2 规范性引用文件</w:t>
      </w:r>
      <w:r>
        <w:rPr>
          <w:color w:val="auto"/>
        </w:rPr>
        <w:tab/>
      </w:r>
      <w:r>
        <w:rPr>
          <w:color w:val="auto"/>
        </w:rPr>
        <w:fldChar w:fldCharType="begin"/>
      </w:r>
      <w:r>
        <w:rPr>
          <w:color w:val="auto"/>
        </w:rPr>
        <w:instrText xml:space="preserve"> PAGEREF _Toc151721680 \h </w:instrText>
      </w:r>
      <w:r>
        <w:rPr>
          <w:color w:val="auto"/>
        </w:rPr>
        <w:fldChar w:fldCharType="separate"/>
      </w:r>
      <w:r>
        <w:rPr>
          <w:color w:val="auto"/>
        </w:rPr>
        <w:t>4</w:t>
      </w:r>
      <w:r>
        <w:rPr>
          <w:color w:val="auto"/>
        </w:rPr>
        <w:fldChar w:fldCharType="end"/>
      </w:r>
      <w:r>
        <w:rPr>
          <w:color w:val="auto"/>
        </w:rPr>
        <w:fldChar w:fldCharType="end"/>
      </w:r>
    </w:p>
    <w:p>
      <w:pPr>
        <w:pStyle w:val="21"/>
        <w:tabs>
          <w:tab w:val="right" w:leader="dot" w:pos="9344"/>
        </w:tabs>
        <w:spacing w:line="340" w:lineRule="exact"/>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"_Toc151721681" </w:instrText>
      </w:r>
      <w:r>
        <w:rPr>
          <w:color w:val="auto"/>
        </w:rPr>
        <w:fldChar w:fldCharType="separate"/>
      </w:r>
      <w:r>
        <w:rPr>
          <w:rStyle w:val="36"/>
          <w:color w:val="auto"/>
        </w:rPr>
        <w:t>3 术语和定义</w:t>
      </w:r>
      <w:r>
        <w:rPr>
          <w:color w:val="auto"/>
        </w:rPr>
        <w:tab/>
      </w:r>
      <w:r>
        <w:rPr>
          <w:color w:val="auto"/>
        </w:rPr>
        <w:fldChar w:fldCharType="begin"/>
      </w:r>
      <w:r>
        <w:rPr>
          <w:color w:val="auto"/>
        </w:rPr>
        <w:instrText xml:space="preserve"> PAGEREF _Toc151721681 \h </w:instrText>
      </w:r>
      <w:r>
        <w:rPr>
          <w:color w:val="auto"/>
        </w:rPr>
        <w:fldChar w:fldCharType="separate"/>
      </w:r>
      <w:r>
        <w:rPr>
          <w:color w:val="auto"/>
        </w:rPr>
        <w:t>4</w:t>
      </w:r>
      <w:r>
        <w:rPr>
          <w:color w:val="auto"/>
        </w:rPr>
        <w:fldChar w:fldCharType="end"/>
      </w:r>
      <w:r>
        <w:rPr>
          <w:color w:val="auto"/>
        </w:rPr>
        <w:fldChar w:fldCharType="end"/>
      </w:r>
    </w:p>
    <w:p>
      <w:pPr>
        <w:pStyle w:val="21"/>
        <w:tabs>
          <w:tab w:val="right" w:leader="dot" w:pos="9344"/>
        </w:tabs>
        <w:spacing w:line="340" w:lineRule="exact"/>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"_Toc151721682" </w:instrText>
      </w:r>
      <w:r>
        <w:rPr>
          <w:color w:val="auto"/>
        </w:rPr>
        <w:fldChar w:fldCharType="separate"/>
      </w:r>
      <w:r>
        <w:rPr>
          <w:rStyle w:val="36"/>
          <w:color w:val="auto"/>
        </w:rPr>
        <w:t>4 物流园区数字化一般要求</w:t>
      </w:r>
      <w:r>
        <w:rPr>
          <w:color w:val="auto"/>
        </w:rPr>
        <w:tab/>
      </w:r>
      <w:r>
        <w:rPr>
          <w:color w:val="auto"/>
        </w:rPr>
        <w:fldChar w:fldCharType="begin"/>
      </w:r>
      <w:r>
        <w:rPr>
          <w:color w:val="auto"/>
        </w:rPr>
        <w:instrText xml:space="preserve"> PAGEREF _Toc151721682 \h </w:instrText>
      </w:r>
      <w:r>
        <w:rPr>
          <w:color w:val="auto"/>
        </w:rPr>
        <w:fldChar w:fldCharType="separate"/>
      </w:r>
      <w:r>
        <w:rPr>
          <w:color w:val="auto"/>
        </w:rPr>
        <w:t>4</w:t>
      </w:r>
      <w:r>
        <w:rPr>
          <w:color w:val="auto"/>
        </w:rPr>
        <w:fldChar w:fldCharType="end"/>
      </w:r>
      <w:r>
        <w:rPr>
          <w:color w:val="auto"/>
        </w:rPr>
        <w:fldChar w:fldCharType="end"/>
      </w:r>
    </w:p>
    <w:p>
      <w:pPr>
        <w:pStyle w:val="21"/>
        <w:tabs>
          <w:tab w:val="right" w:leader="dot" w:pos="9344"/>
        </w:tabs>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"_Toc151721683" </w:instrText>
      </w:r>
      <w:r>
        <w:rPr>
          <w:color w:val="auto"/>
        </w:rPr>
        <w:fldChar w:fldCharType="separate"/>
      </w:r>
      <w:r>
        <w:rPr>
          <w:rStyle w:val="36"/>
          <w:color w:val="auto"/>
        </w:rPr>
        <w:t>5 物流园区数字化要素框架</w:t>
      </w:r>
      <w:r>
        <w:rPr>
          <w:color w:val="auto"/>
        </w:rPr>
        <w:tab/>
      </w:r>
      <w:r>
        <w:rPr>
          <w:color w:val="auto"/>
        </w:rPr>
        <w:fldChar w:fldCharType="begin"/>
      </w:r>
      <w:r>
        <w:rPr>
          <w:color w:val="auto"/>
        </w:rPr>
        <w:instrText xml:space="preserve"> PAGEREF _Toc151721683 \h </w:instrText>
      </w:r>
      <w:r>
        <w:rPr>
          <w:color w:val="auto"/>
        </w:rPr>
        <w:fldChar w:fldCharType="separate"/>
      </w:r>
      <w:r>
        <w:rPr>
          <w:color w:val="auto"/>
        </w:rPr>
        <w:t>4</w:t>
      </w:r>
      <w:r>
        <w:rPr>
          <w:color w:val="auto"/>
        </w:rPr>
        <w:fldChar w:fldCharType="end"/>
      </w:r>
      <w:r>
        <w:rPr>
          <w:color w:val="auto"/>
        </w:rPr>
        <w:fldChar w:fldCharType="end"/>
      </w:r>
    </w:p>
    <w:p>
      <w:pPr>
        <w:pStyle w:val="26"/>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"_Toc151721684" </w:instrText>
      </w:r>
      <w:r>
        <w:rPr>
          <w:color w:val="auto"/>
        </w:rPr>
        <w:fldChar w:fldCharType="separate"/>
      </w:r>
      <w:r>
        <w:rPr>
          <w:rStyle w:val="36"/>
          <w:color w:val="auto"/>
          <w14:scene3d w14:prst="orthographicFront">
            <w14:lightRig w14:rig="threePt" w14:dir="t">
              <w14:rot w14:lat="0" w14:lon="0" w14:rev="0"/>
            </w14:lightRig>
          </w14:scene3d>
        </w:rPr>
        <w:t>5.1</w:t>
      </w:r>
      <w:r>
        <w:rPr>
          <w:rStyle w:val="36"/>
          <w:color w:val="auto"/>
        </w:rPr>
        <w:t xml:space="preserve"> 框架</w:t>
      </w:r>
      <w:r>
        <w:rPr>
          <w:color w:val="auto"/>
        </w:rPr>
        <w:tab/>
      </w:r>
      <w:r>
        <w:rPr>
          <w:color w:val="auto"/>
        </w:rPr>
        <w:fldChar w:fldCharType="begin"/>
      </w:r>
      <w:r>
        <w:rPr>
          <w:color w:val="auto"/>
        </w:rPr>
        <w:instrText xml:space="preserve"> PAGEREF _Toc151721684 \h </w:instrText>
      </w:r>
      <w:r>
        <w:rPr>
          <w:color w:val="auto"/>
        </w:rPr>
        <w:fldChar w:fldCharType="separate"/>
      </w:r>
      <w:r>
        <w:rPr>
          <w:color w:val="auto"/>
        </w:rPr>
        <w:t>4</w:t>
      </w:r>
      <w:r>
        <w:rPr>
          <w:color w:val="auto"/>
        </w:rPr>
        <w:fldChar w:fldCharType="end"/>
      </w:r>
      <w:r>
        <w:rPr>
          <w:color w:val="auto"/>
        </w:rPr>
        <w:fldChar w:fldCharType="end"/>
      </w:r>
    </w:p>
    <w:p>
      <w:pPr>
        <w:pStyle w:val="26"/>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"_Toc151721685" </w:instrText>
      </w:r>
      <w:r>
        <w:rPr>
          <w:color w:val="auto"/>
        </w:rPr>
        <w:fldChar w:fldCharType="separate"/>
      </w:r>
      <w:r>
        <w:rPr>
          <w:rStyle w:val="36"/>
          <w:color w:val="auto"/>
          <w14:scene3d w14:prst="orthographicFront">
            <w14:lightRig w14:rig="threePt" w14:dir="t">
              <w14:rot w14:lat="0" w14:lon="0" w14:rev="0"/>
            </w14:lightRig>
          </w14:scene3d>
        </w:rPr>
        <w:t>5.2</w:t>
      </w:r>
      <w:r>
        <w:rPr>
          <w:rStyle w:val="36"/>
          <w:color w:val="auto"/>
        </w:rPr>
        <w:t xml:space="preserve"> 物流园区数字化要素</w:t>
      </w:r>
      <w:r>
        <w:rPr>
          <w:color w:val="auto"/>
        </w:rPr>
        <w:tab/>
      </w:r>
      <w:r>
        <w:rPr>
          <w:color w:val="auto"/>
        </w:rPr>
        <w:fldChar w:fldCharType="begin"/>
      </w:r>
      <w:r>
        <w:rPr>
          <w:color w:val="auto"/>
        </w:rPr>
        <w:instrText xml:space="preserve"> PAGEREF _Toc151721685 \h </w:instrText>
      </w:r>
      <w:r>
        <w:rPr>
          <w:color w:val="auto"/>
        </w:rPr>
        <w:fldChar w:fldCharType="separate"/>
      </w:r>
      <w:r>
        <w:rPr>
          <w:color w:val="auto"/>
        </w:rPr>
        <w:t>5</w:t>
      </w:r>
      <w:r>
        <w:rPr>
          <w:color w:val="auto"/>
        </w:rPr>
        <w:fldChar w:fldCharType="end"/>
      </w:r>
      <w:r>
        <w:rPr>
          <w:color w:val="auto"/>
        </w:rPr>
        <w:fldChar w:fldCharType="end"/>
      </w:r>
    </w:p>
    <w:p>
      <w:pPr>
        <w:pStyle w:val="26"/>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"_Toc151721686" </w:instrText>
      </w:r>
      <w:r>
        <w:rPr>
          <w:color w:val="auto"/>
        </w:rPr>
        <w:fldChar w:fldCharType="separate"/>
      </w:r>
      <w:r>
        <w:rPr>
          <w:rStyle w:val="36"/>
          <w:color w:val="auto"/>
          <w14:scene3d w14:prst="orthographicFront">
            <w14:lightRig w14:rig="threePt" w14:dir="t">
              <w14:rot w14:lat="0" w14:lon="0" w14:rev="0"/>
            </w14:lightRig>
          </w14:scene3d>
        </w:rPr>
        <w:t>5.3</w:t>
      </w:r>
      <w:r>
        <w:rPr>
          <w:rStyle w:val="36"/>
          <w:color w:val="auto"/>
        </w:rPr>
        <w:t xml:space="preserve"> 物流园区要素</w:t>
      </w:r>
      <w:r>
        <w:rPr>
          <w:color w:val="auto"/>
        </w:rPr>
        <w:tab/>
      </w:r>
      <w:r>
        <w:rPr>
          <w:color w:val="auto"/>
        </w:rPr>
        <w:fldChar w:fldCharType="begin"/>
      </w:r>
      <w:r>
        <w:rPr>
          <w:color w:val="auto"/>
        </w:rPr>
        <w:instrText xml:space="preserve"> PAGEREF _Toc151721686 \h </w:instrText>
      </w:r>
      <w:r>
        <w:rPr>
          <w:color w:val="auto"/>
        </w:rPr>
        <w:fldChar w:fldCharType="separate"/>
      </w:r>
      <w:r>
        <w:rPr>
          <w:color w:val="auto"/>
        </w:rPr>
        <w:t>5</w:t>
      </w:r>
      <w:r>
        <w:rPr>
          <w:color w:val="auto"/>
        </w:rPr>
        <w:fldChar w:fldCharType="end"/>
      </w:r>
      <w:r>
        <w:rPr>
          <w:color w:val="auto"/>
        </w:rPr>
        <w:fldChar w:fldCharType="end"/>
      </w:r>
    </w:p>
    <w:p>
      <w:pPr>
        <w:pStyle w:val="26"/>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"_Toc151721687" </w:instrText>
      </w:r>
      <w:r>
        <w:rPr>
          <w:color w:val="auto"/>
        </w:rPr>
        <w:fldChar w:fldCharType="separate"/>
      </w:r>
      <w:r>
        <w:rPr>
          <w:rStyle w:val="36"/>
          <w:color w:val="auto"/>
          <w14:scene3d w14:prst="orthographicFront">
            <w14:lightRig w14:rig="threePt" w14:dir="t">
              <w14:rot w14:lat="0" w14:lon="0" w14:rev="0"/>
            </w14:lightRig>
          </w14:scene3d>
        </w:rPr>
        <w:t>5.4</w:t>
      </w:r>
      <w:r>
        <w:rPr>
          <w:rStyle w:val="36"/>
          <w:color w:val="auto"/>
        </w:rPr>
        <w:t xml:space="preserve"> 管理活动要素</w:t>
      </w:r>
      <w:r>
        <w:rPr>
          <w:color w:val="auto"/>
        </w:rPr>
        <w:tab/>
      </w:r>
      <w:r>
        <w:rPr>
          <w:color w:val="auto"/>
        </w:rPr>
        <w:fldChar w:fldCharType="begin"/>
      </w:r>
      <w:r>
        <w:rPr>
          <w:color w:val="auto"/>
        </w:rPr>
        <w:instrText xml:space="preserve"> PAGEREF _Toc151721687 \h </w:instrText>
      </w:r>
      <w:r>
        <w:rPr>
          <w:color w:val="auto"/>
        </w:rPr>
        <w:fldChar w:fldCharType="separate"/>
      </w:r>
      <w:r>
        <w:rPr>
          <w:color w:val="auto"/>
        </w:rPr>
        <w:t>5</w:t>
      </w:r>
      <w:r>
        <w:rPr>
          <w:color w:val="auto"/>
        </w:rPr>
        <w:fldChar w:fldCharType="end"/>
      </w:r>
      <w:r>
        <w:rPr>
          <w:color w:val="auto"/>
        </w:rPr>
        <w:fldChar w:fldCharType="end"/>
      </w:r>
    </w:p>
    <w:p>
      <w:pPr>
        <w:pStyle w:val="26"/>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"_Toc151721688" </w:instrText>
      </w:r>
      <w:r>
        <w:rPr>
          <w:color w:val="auto"/>
        </w:rPr>
        <w:fldChar w:fldCharType="separate"/>
      </w:r>
      <w:r>
        <w:rPr>
          <w:rStyle w:val="36"/>
          <w:color w:val="auto"/>
          <w14:scene3d w14:prst="orthographicFront">
            <w14:lightRig w14:rig="threePt" w14:dir="t">
              <w14:rot w14:lat="0" w14:lon="0" w14:rev="0"/>
            </w14:lightRig>
          </w14:scene3d>
        </w:rPr>
        <w:t>5.5</w:t>
      </w:r>
      <w:r>
        <w:rPr>
          <w:rStyle w:val="36"/>
          <w:color w:val="auto"/>
        </w:rPr>
        <w:t xml:space="preserve"> 数字化环节要素</w:t>
      </w:r>
      <w:r>
        <w:rPr>
          <w:color w:val="auto"/>
        </w:rPr>
        <w:tab/>
      </w:r>
      <w:r>
        <w:rPr>
          <w:color w:val="auto"/>
        </w:rPr>
        <w:fldChar w:fldCharType="begin"/>
      </w:r>
      <w:r>
        <w:rPr>
          <w:color w:val="auto"/>
        </w:rPr>
        <w:instrText xml:space="preserve"> PAGEREF _Toc151721688 \h </w:instrText>
      </w:r>
      <w:r>
        <w:rPr>
          <w:color w:val="auto"/>
        </w:rPr>
        <w:fldChar w:fldCharType="separate"/>
      </w:r>
      <w:r>
        <w:rPr>
          <w:color w:val="auto"/>
        </w:rPr>
        <w:t>5</w:t>
      </w:r>
      <w:r>
        <w:rPr>
          <w:color w:val="auto"/>
        </w:rPr>
        <w:fldChar w:fldCharType="end"/>
      </w:r>
      <w:r>
        <w:rPr>
          <w:color w:val="auto"/>
        </w:rPr>
        <w:fldChar w:fldCharType="end"/>
      </w:r>
    </w:p>
    <w:p>
      <w:pPr>
        <w:pStyle w:val="26"/>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"_Toc151721689" </w:instrText>
      </w:r>
      <w:r>
        <w:rPr>
          <w:color w:val="auto"/>
        </w:rPr>
        <w:fldChar w:fldCharType="separate"/>
      </w:r>
      <w:r>
        <w:rPr>
          <w:rStyle w:val="36"/>
          <w:color w:val="auto"/>
          <w14:scene3d w14:prst="orthographicFront">
            <w14:lightRig w14:rig="threePt" w14:dir="t">
              <w14:rot w14:lat="0" w14:lon="0" w14:rev="0"/>
            </w14:lightRig>
          </w14:scene3d>
        </w:rPr>
        <w:t>5.6</w:t>
      </w:r>
      <w:r>
        <w:rPr>
          <w:rStyle w:val="36"/>
          <w:color w:val="auto"/>
        </w:rPr>
        <w:t xml:space="preserve"> 物流园区数字化管理平台</w:t>
      </w:r>
      <w:r>
        <w:rPr>
          <w:color w:val="auto"/>
        </w:rPr>
        <w:tab/>
      </w:r>
      <w:r>
        <w:rPr>
          <w:color w:val="auto"/>
        </w:rPr>
        <w:fldChar w:fldCharType="begin"/>
      </w:r>
      <w:r>
        <w:rPr>
          <w:color w:val="auto"/>
        </w:rPr>
        <w:instrText xml:space="preserve"> PAGEREF _Toc151721689 \h </w:instrText>
      </w:r>
      <w:r>
        <w:rPr>
          <w:color w:val="auto"/>
        </w:rPr>
        <w:fldChar w:fldCharType="separate"/>
      </w:r>
      <w:r>
        <w:rPr>
          <w:color w:val="auto"/>
        </w:rPr>
        <w:t>6</w:t>
      </w:r>
      <w:r>
        <w:rPr>
          <w:color w:val="auto"/>
        </w:rPr>
        <w:fldChar w:fldCharType="end"/>
      </w:r>
      <w:r>
        <w:rPr>
          <w:color w:val="auto"/>
        </w:rPr>
        <w:fldChar w:fldCharType="end"/>
      </w:r>
    </w:p>
    <w:p>
      <w:pPr>
        <w:pStyle w:val="21"/>
        <w:tabs>
          <w:tab w:val="right" w:leader="dot" w:pos="9344"/>
        </w:tabs>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"_Toc151721690" </w:instrText>
      </w:r>
      <w:r>
        <w:rPr>
          <w:color w:val="auto"/>
        </w:rPr>
        <w:fldChar w:fldCharType="separate"/>
      </w:r>
      <w:r>
        <w:rPr>
          <w:rStyle w:val="36"/>
          <w:color w:val="auto"/>
        </w:rPr>
        <w:t>6 物流园区要素的信息采集</w:t>
      </w:r>
      <w:r>
        <w:rPr>
          <w:color w:val="auto"/>
        </w:rPr>
        <w:tab/>
      </w:r>
      <w:r>
        <w:rPr>
          <w:color w:val="auto"/>
        </w:rPr>
        <w:fldChar w:fldCharType="begin"/>
      </w:r>
      <w:r>
        <w:rPr>
          <w:color w:val="auto"/>
        </w:rPr>
        <w:instrText xml:space="preserve"> PAGEREF _Toc151721690 \h </w:instrText>
      </w:r>
      <w:r>
        <w:rPr>
          <w:color w:val="auto"/>
        </w:rPr>
        <w:fldChar w:fldCharType="separate"/>
      </w:r>
      <w:r>
        <w:rPr>
          <w:color w:val="auto"/>
        </w:rPr>
        <w:t>6</w:t>
      </w:r>
      <w:r>
        <w:rPr>
          <w:color w:val="auto"/>
        </w:rPr>
        <w:fldChar w:fldCharType="end"/>
      </w:r>
      <w:r>
        <w:rPr>
          <w:color w:val="auto"/>
        </w:rPr>
        <w:fldChar w:fldCharType="end"/>
      </w:r>
    </w:p>
    <w:p>
      <w:pPr>
        <w:pStyle w:val="26"/>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"_Toc151721691" </w:instrText>
      </w:r>
      <w:r>
        <w:rPr>
          <w:color w:val="auto"/>
        </w:rPr>
        <w:fldChar w:fldCharType="separate"/>
      </w:r>
      <w:r>
        <w:rPr>
          <w:rStyle w:val="36"/>
          <w:color w:val="auto"/>
          <w14:scene3d w14:prst="orthographicFront">
            <w14:lightRig w14:rig="threePt" w14:dir="t">
              <w14:rot w14:lat="0" w14:lon="0" w14:rev="0"/>
            </w14:lightRig>
          </w14:scene3d>
        </w:rPr>
        <w:t>6.1</w:t>
      </w:r>
      <w:r>
        <w:rPr>
          <w:rStyle w:val="36"/>
          <w:color w:val="auto"/>
        </w:rPr>
        <w:t xml:space="preserve"> 人员要素</w:t>
      </w:r>
      <w:r>
        <w:rPr>
          <w:color w:val="auto"/>
        </w:rPr>
        <w:tab/>
      </w:r>
      <w:r>
        <w:rPr>
          <w:color w:val="auto"/>
        </w:rPr>
        <w:fldChar w:fldCharType="begin"/>
      </w:r>
      <w:r>
        <w:rPr>
          <w:color w:val="auto"/>
        </w:rPr>
        <w:instrText xml:space="preserve"> PAGEREF _Toc151721691 \h </w:instrText>
      </w:r>
      <w:r>
        <w:rPr>
          <w:color w:val="auto"/>
        </w:rPr>
        <w:fldChar w:fldCharType="separate"/>
      </w:r>
      <w:r>
        <w:rPr>
          <w:color w:val="auto"/>
        </w:rPr>
        <w:t>6</w:t>
      </w:r>
      <w:r>
        <w:rPr>
          <w:color w:val="auto"/>
        </w:rPr>
        <w:fldChar w:fldCharType="end"/>
      </w:r>
      <w:r>
        <w:rPr>
          <w:color w:val="auto"/>
        </w:rPr>
        <w:fldChar w:fldCharType="end"/>
      </w:r>
    </w:p>
    <w:p>
      <w:pPr>
        <w:pStyle w:val="26"/>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"_Toc151721692" </w:instrText>
      </w:r>
      <w:r>
        <w:rPr>
          <w:color w:val="auto"/>
        </w:rPr>
        <w:fldChar w:fldCharType="separate"/>
      </w:r>
      <w:r>
        <w:rPr>
          <w:rStyle w:val="36"/>
          <w:color w:val="auto"/>
          <w14:scene3d w14:prst="orthographicFront">
            <w14:lightRig w14:rig="threePt" w14:dir="t">
              <w14:rot w14:lat="0" w14:lon="0" w14:rev="0"/>
            </w14:lightRig>
          </w14:scene3d>
        </w:rPr>
        <w:t>6.2</w:t>
      </w:r>
      <w:r>
        <w:rPr>
          <w:rStyle w:val="36"/>
          <w:color w:val="auto"/>
        </w:rPr>
        <w:t xml:space="preserve"> 载具要素</w:t>
      </w:r>
      <w:r>
        <w:rPr>
          <w:color w:val="auto"/>
        </w:rPr>
        <w:tab/>
      </w:r>
      <w:r>
        <w:rPr>
          <w:color w:val="auto"/>
        </w:rPr>
        <w:fldChar w:fldCharType="begin"/>
      </w:r>
      <w:r>
        <w:rPr>
          <w:color w:val="auto"/>
        </w:rPr>
        <w:instrText xml:space="preserve"> PAGEREF _Toc151721692 \h </w:instrText>
      </w:r>
      <w:r>
        <w:rPr>
          <w:color w:val="auto"/>
        </w:rPr>
        <w:fldChar w:fldCharType="separate"/>
      </w:r>
      <w:r>
        <w:rPr>
          <w:color w:val="auto"/>
        </w:rPr>
        <w:t>6</w:t>
      </w:r>
      <w:r>
        <w:rPr>
          <w:color w:val="auto"/>
        </w:rPr>
        <w:fldChar w:fldCharType="end"/>
      </w:r>
      <w:r>
        <w:rPr>
          <w:color w:val="auto"/>
        </w:rPr>
        <w:fldChar w:fldCharType="end"/>
      </w:r>
    </w:p>
    <w:p>
      <w:pPr>
        <w:pStyle w:val="26"/>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"_Toc151721693" </w:instrText>
      </w:r>
      <w:r>
        <w:rPr>
          <w:color w:val="auto"/>
        </w:rPr>
        <w:fldChar w:fldCharType="separate"/>
      </w:r>
      <w:r>
        <w:rPr>
          <w:rStyle w:val="36"/>
          <w:color w:val="auto"/>
          <w14:scene3d w14:prst="orthographicFront">
            <w14:lightRig w14:rig="threePt" w14:dir="t">
              <w14:rot w14:lat="0" w14:lon="0" w14:rev="0"/>
            </w14:lightRig>
          </w14:scene3d>
        </w:rPr>
        <w:t>6.3</w:t>
      </w:r>
      <w:r>
        <w:rPr>
          <w:rStyle w:val="36"/>
          <w:color w:val="auto"/>
        </w:rPr>
        <w:t xml:space="preserve"> 货物要素</w:t>
      </w:r>
      <w:r>
        <w:rPr>
          <w:color w:val="auto"/>
        </w:rPr>
        <w:tab/>
      </w:r>
      <w:r>
        <w:rPr>
          <w:color w:val="auto"/>
        </w:rPr>
        <w:fldChar w:fldCharType="begin"/>
      </w:r>
      <w:r>
        <w:rPr>
          <w:color w:val="auto"/>
        </w:rPr>
        <w:instrText xml:space="preserve"> PAGEREF _Toc151721693 \h </w:instrText>
      </w:r>
      <w:r>
        <w:rPr>
          <w:color w:val="auto"/>
        </w:rPr>
        <w:fldChar w:fldCharType="separate"/>
      </w:r>
      <w:r>
        <w:rPr>
          <w:color w:val="auto"/>
        </w:rPr>
        <w:t>7</w:t>
      </w:r>
      <w:r>
        <w:rPr>
          <w:color w:val="auto"/>
        </w:rPr>
        <w:fldChar w:fldCharType="end"/>
      </w:r>
      <w:r>
        <w:rPr>
          <w:color w:val="auto"/>
        </w:rPr>
        <w:fldChar w:fldCharType="end"/>
      </w:r>
    </w:p>
    <w:p>
      <w:pPr>
        <w:pStyle w:val="26"/>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"_Toc151721694" </w:instrText>
      </w:r>
      <w:r>
        <w:rPr>
          <w:color w:val="auto"/>
        </w:rPr>
        <w:fldChar w:fldCharType="separate"/>
      </w:r>
      <w:r>
        <w:rPr>
          <w:rStyle w:val="36"/>
          <w:color w:val="auto"/>
          <w14:scene3d w14:prst="orthographicFront">
            <w14:lightRig w14:rig="threePt" w14:dir="t">
              <w14:rot w14:lat="0" w14:lon="0" w14:rev="0"/>
            </w14:lightRig>
          </w14:scene3d>
        </w:rPr>
        <w:t>6.4</w:t>
      </w:r>
      <w:r>
        <w:rPr>
          <w:rStyle w:val="36"/>
          <w:color w:val="auto"/>
        </w:rPr>
        <w:t xml:space="preserve"> 场地要素</w:t>
      </w:r>
      <w:r>
        <w:rPr>
          <w:color w:val="auto"/>
        </w:rPr>
        <w:tab/>
      </w:r>
      <w:r>
        <w:rPr>
          <w:color w:val="auto"/>
        </w:rPr>
        <w:fldChar w:fldCharType="begin"/>
      </w:r>
      <w:r>
        <w:rPr>
          <w:color w:val="auto"/>
        </w:rPr>
        <w:instrText xml:space="preserve"> PAGEREF _Toc151721694 \h </w:instrText>
      </w:r>
      <w:r>
        <w:rPr>
          <w:color w:val="auto"/>
        </w:rPr>
        <w:fldChar w:fldCharType="separate"/>
      </w:r>
      <w:r>
        <w:rPr>
          <w:color w:val="auto"/>
        </w:rPr>
        <w:t>7</w:t>
      </w:r>
      <w:r>
        <w:rPr>
          <w:color w:val="auto"/>
        </w:rPr>
        <w:fldChar w:fldCharType="end"/>
      </w:r>
      <w:r>
        <w:rPr>
          <w:color w:val="auto"/>
        </w:rPr>
        <w:fldChar w:fldCharType="end"/>
      </w:r>
    </w:p>
    <w:p>
      <w:pPr>
        <w:pStyle w:val="26"/>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"_Toc151721695" </w:instrText>
      </w:r>
      <w:r>
        <w:rPr>
          <w:color w:val="auto"/>
        </w:rPr>
        <w:fldChar w:fldCharType="separate"/>
      </w:r>
      <w:r>
        <w:rPr>
          <w:rStyle w:val="36"/>
          <w:color w:val="auto"/>
          <w14:scene3d w14:prst="orthographicFront">
            <w14:lightRig w14:rig="threePt" w14:dir="t">
              <w14:rot w14:lat="0" w14:lon="0" w14:rev="0"/>
            </w14:lightRig>
          </w14:scene3d>
        </w:rPr>
        <w:t>6.5</w:t>
      </w:r>
      <w:r>
        <w:rPr>
          <w:rStyle w:val="36"/>
          <w:color w:val="auto"/>
        </w:rPr>
        <w:t xml:space="preserve"> 道路要素</w:t>
      </w:r>
      <w:r>
        <w:rPr>
          <w:color w:val="auto"/>
        </w:rPr>
        <w:tab/>
      </w:r>
      <w:r>
        <w:rPr>
          <w:color w:val="auto"/>
        </w:rPr>
        <w:fldChar w:fldCharType="begin"/>
      </w:r>
      <w:r>
        <w:rPr>
          <w:color w:val="auto"/>
        </w:rPr>
        <w:instrText xml:space="preserve"> PAGEREF _Toc151721695 \h </w:instrText>
      </w:r>
      <w:r>
        <w:rPr>
          <w:color w:val="auto"/>
        </w:rPr>
        <w:fldChar w:fldCharType="separate"/>
      </w:r>
      <w:r>
        <w:rPr>
          <w:color w:val="auto"/>
        </w:rPr>
        <w:t>7</w:t>
      </w:r>
      <w:r>
        <w:rPr>
          <w:color w:val="auto"/>
        </w:rPr>
        <w:fldChar w:fldCharType="end"/>
      </w:r>
      <w:r>
        <w:rPr>
          <w:color w:val="auto"/>
        </w:rPr>
        <w:fldChar w:fldCharType="end"/>
      </w:r>
    </w:p>
    <w:p>
      <w:pPr>
        <w:pStyle w:val="26"/>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"_Toc151721696" </w:instrText>
      </w:r>
      <w:r>
        <w:rPr>
          <w:color w:val="auto"/>
        </w:rPr>
        <w:fldChar w:fldCharType="separate"/>
      </w:r>
      <w:r>
        <w:rPr>
          <w:rStyle w:val="36"/>
          <w:color w:val="auto"/>
          <w14:scene3d w14:prst="orthographicFront">
            <w14:lightRig w14:rig="threePt" w14:dir="t">
              <w14:rot w14:lat="0" w14:lon="0" w14:rev="0"/>
            </w14:lightRig>
          </w14:scene3d>
        </w:rPr>
        <w:t>6.6</w:t>
      </w:r>
      <w:r>
        <w:rPr>
          <w:rStyle w:val="36"/>
          <w:color w:val="auto"/>
        </w:rPr>
        <w:t xml:space="preserve"> 环境要素</w:t>
      </w:r>
      <w:r>
        <w:rPr>
          <w:color w:val="auto"/>
        </w:rPr>
        <w:tab/>
      </w:r>
      <w:r>
        <w:rPr>
          <w:color w:val="auto"/>
        </w:rPr>
        <w:fldChar w:fldCharType="begin"/>
      </w:r>
      <w:r>
        <w:rPr>
          <w:color w:val="auto"/>
        </w:rPr>
        <w:instrText xml:space="preserve"> PAGEREF _Toc151721696 \h </w:instrText>
      </w:r>
      <w:r>
        <w:rPr>
          <w:color w:val="auto"/>
        </w:rPr>
        <w:fldChar w:fldCharType="separate"/>
      </w:r>
      <w:r>
        <w:rPr>
          <w:color w:val="auto"/>
        </w:rPr>
        <w:t>7</w:t>
      </w:r>
      <w:r>
        <w:rPr>
          <w:color w:val="auto"/>
        </w:rPr>
        <w:fldChar w:fldCharType="end"/>
      </w:r>
      <w:r>
        <w:rPr>
          <w:color w:val="auto"/>
        </w:rPr>
        <w:fldChar w:fldCharType="end"/>
      </w:r>
    </w:p>
    <w:p>
      <w:pPr>
        <w:pStyle w:val="26"/>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"_Toc151721697" </w:instrText>
      </w:r>
      <w:r>
        <w:rPr>
          <w:color w:val="auto"/>
        </w:rPr>
        <w:fldChar w:fldCharType="separate"/>
      </w:r>
      <w:r>
        <w:rPr>
          <w:rStyle w:val="36"/>
          <w:color w:val="auto"/>
          <w14:scene3d w14:prst="orthographicFront">
            <w14:lightRig w14:rig="threePt" w14:dir="t">
              <w14:rot w14:lat="0" w14:lon="0" w14:rev="0"/>
            </w14:lightRig>
          </w14:scene3d>
        </w:rPr>
        <w:t>6.7</w:t>
      </w:r>
      <w:r>
        <w:rPr>
          <w:rStyle w:val="36"/>
          <w:color w:val="auto"/>
        </w:rPr>
        <w:t xml:space="preserve"> 其他要求</w:t>
      </w:r>
      <w:r>
        <w:rPr>
          <w:color w:val="auto"/>
        </w:rPr>
        <w:tab/>
      </w:r>
      <w:r>
        <w:rPr>
          <w:color w:val="auto"/>
        </w:rPr>
        <w:fldChar w:fldCharType="begin"/>
      </w:r>
      <w:r>
        <w:rPr>
          <w:color w:val="auto"/>
        </w:rPr>
        <w:instrText xml:space="preserve"> PAGEREF _Toc151721697 \h </w:instrText>
      </w:r>
      <w:r>
        <w:rPr>
          <w:color w:val="auto"/>
        </w:rPr>
        <w:fldChar w:fldCharType="separate"/>
      </w:r>
      <w:r>
        <w:rPr>
          <w:color w:val="auto"/>
        </w:rPr>
        <w:t>8</w:t>
      </w:r>
      <w:r>
        <w:rPr>
          <w:color w:val="auto"/>
        </w:rPr>
        <w:fldChar w:fldCharType="end"/>
      </w:r>
      <w:r>
        <w:rPr>
          <w:color w:val="auto"/>
        </w:rPr>
        <w:fldChar w:fldCharType="end"/>
      </w:r>
    </w:p>
    <w:p>
      <w:pPr>
        <w:pStyle w:val="21"/>
        <w:tabs>
          <w:tab w:val="right" w:leader="dot" w:pos="9344"/>
        </w:tabs>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"_Toc151721698" </w:instrText>
      </w:r>
      <w:r>
        <w:rPr>
          <w:color w:val="auto"/>
        </w:rPr>
        <w:fldChar w:fldCharType="separate"/>
      </w:r>
      <w:r>
        <w:rPr>
          <w:rStyle w:val="36"/>
          <w:color w:val="auto"/>
        </w:rPr>
        <w:t>7 园区管理活动的数字化</w:t>
      </w:r>
      <w:r>
        <w:rPr>
          <w:color w:val="auto"/>
        </w:rPr>
        <w:tab/>
      </w:r>
      <w:r>
        <w:rPr>
          <w:color w:val="auto"/>
        </w:rPr>
        <w:fldChar w:fldCharType="begin"/>
      </w:r>
      <w:r>
        <w:rPr>
          <w:color w:val="auto"/>
        </w:rPr>
        <w:instrText xml:space="preserve"> PAGEREF _Toc151721698 \h </w:instrText>
      </w:r>
      <w:r>
        <w:rPr>
          <w:color w:val="auto"/>
        </w:rPr>
        <w:fldChar w:fldCharType="separate"/>
      </w:r>
      <w:r>
        <w:rPr>
          <w:color w:val="auto"/>
        </w:rPr>
        <w:t>8</w:t>
      </w:r>
      <w:r>
        <w:rPr>
          <w:color w:val="auto"/>
        </w:rPr>
        <w:fldChar w:fldCharType="end"/>
      </w:r>
      <w:r>
        <w:rPr>
          <w:color w:val="auto"/>
        </w:rPr>
        <w:fldChar w:fldCharType="end"/>
      </w:r>
    </w:p>
    <w:p>
      <w:pPr>
        <w:pStyle w:val="26"/>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"_Toc151721699" </w:instrText>
      </w:r>
      <w:r>
        <w:rPr>
          <w:color w:val="auto"/>
        </w:rPr>
        <w:fldChar w:fldCharType="separate"/>
      </w:r>
      <w:r>
        <w:rPr>
          <w:rStyle w:val="36"/>
          <w:color w:val="auto"/>
          <w14:scene3d w14:prst="orthographicFront">
            <w14:lightRig w14:rig="threePt" w14:dir="t">
              <w14:rot w14:lat="0" w14:lon="0" w14:rev="0"/>
            </w14:lightRig>
          </w14:scene3d>
        </w:rPr>
        <w:t>7.1</w:t>
      </w:r>
      <w:r>
        <w:rPr>
          <w:rStyle w:val="36"/>
          <w:color w:val="auto"/>
        </w:rPr>
        <w:t xml:space="preserve"> 整体要求</w:t>
      </w:r>
      <w:r>
        <w:rPr>
          <w:color w:val="auto"/>
        </w:rPr>
        <w:tab/>
      </w:r>
      <w:r>
        <w:rPr>
          <w:color w:val="auto"/>
        </w:rPr>
        <w:fldChar w:fldCharType="begin"/>
      </w:r>
      <w:r>
        <w:rPr>
          <w:color w:val="auto"/>
        </w:rPr>
        <w:instrText xml:space="preserve"> PAGEREF _Toc151721699 \h </w:instrText>
      </w:r>
      <w:r>
        <w:rPr>
          <w:color w:val="auto"/>
        </w:rPr>
        <w:fldChar w:fldCharType="separate"/>
      </w:r>
      <w:r>
        <w:rPr>
          <w:color w:val="auto"/>
        </w:rPr>
        <w:t>8</w:t>
      </w:r>
      <w:r>
        <w:rPr>
          <w:color w:val="auto"/>
        </w:rPr>
        <w:fldChar w:fldCharType="end"/>
      </w:r>
      <w:r>
        <w:rPr>
          <w:color w:val="auto"/>
        </w:rPr>
        <w:fldChar w:fldCharType="end"/>
      </w:r>
    </w:p>
    <w:p>
      <w:pPr>
        <w:pStyle w:val="26"/>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"_Toc151721700" </w:instrText>
      </w:r>
      <w:r>
        <w:rPr>
          <w:color w:val="auto"/>
        </w:rPr>
        <w:fldChar w:fldCharType="separate"/>
      </w:r>
      <w:r>
        <w:rPr>
          <w:rStyle w:val="36"/>
          <w:color w:val="auto"/>
          <w14:scene3d w14:prst="orthographicFront">
            <w14:lightRig w14:rig="threePt" w14:dir="t">
              <w14:rot w14:lat="0" w14:lon="0" w14:rev="0"/>
            </w14:lightRig>
          </w14:scene3d>
        </w:rPr>
        <w:t>7.2</w:t>
      </w:r>
      <w:r>
        <w:rPr>
          <w:rStyle w:val="36"/>
          <w:color w:val="auto"/>
        </w:rPr>
        <w:t xml:space="preserve"> 接口管理活动的数字化</w:t>
      </w:r>
      <w:r>
        <w:rPr>
          <w:color w:val="auto"/>
        </w:rPr>
        <w:tab/>
      </w:r>
      <w:r>
        <w:rPr>
          <w:color w:val="auto"/>
        </w:rPr>
        <w:fldChar w:fldCharType="begin"/>
      </w:r>
      <w:r>
        <w:rPr>
          <w:color w:val="auto"/>
        </w:rPr>
        <w:instrText xml:space="preserve"> PAGEREF _Toc151721700 \h </w:instrText>
      </w:r>
      <w:r>
        <w:rPr>
          <w:color w:val="auto"/>
        </w:rPr>
        <w:fldChar w:fldCharType="separate"/>
      </w:r>
      <w:r>
        <w:rPr>
          <w:color w:val="auto"/>
        </w:rPr>
        <w:t>8</w:t>
      </w:r>
      <w:r>
        <w:rPr>
          <w:color w:val="auto"/>
        </w:rPr>
        <w:fldChar w:fldCharType="end"/>
      </w:r>
      <w:r>
        <w:rPr>
          <w:color w:val="auto"/>
        </w:rPr>
        <w:fldChar w:fldCharType="end"/>
      </w:r>
    </w:p>
    <w:p>
      <w:pPr>
        <w:pStyle w:val="26"/>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"_Toc151721701" </w:instrText>
      </w:r>
      <w:r>
        <w:rPr>
          <w:color w:val="auto"/>
        </w:rPr>
        <w:fldChar w:fldCharType="separate"/>
      </w:r>
      <w:r>
        <w:rPr>
          <w:rStyle w:val="36"/>
          <w:color w:val="auto"/>
          <w14:scene3d w14:prst="orthographicFront">
            <w14:lightRig w14:rig="threePt" w14:dir="t">
              <w14:rot w14:lat="0" w14:lon="0" w14:rev="0"/>
            </w14:lightRig>
          </w14:scene3d>
        </w:rPr>
        <w:t>7.3</w:t>
      </w:r>
      <w:r>
        <w:rPr>
          <w:rStyle w:val="36"/>
          <w:color w:val="auto"/>
        </w:rPr>
        <w:t xml:space="preserve"> 通行管理活动的数字化</w:t>
      </w:r>
      <w:r>
        <w:rPr>
          <w:color w:val="auto"/>
        </w:rPr>
        <w:tab/>
      </w:r>
      <w:r>
        <w:rPr>
          <w:color w:val="auto"/>
        </w:rPr>
        <w:fldChar w:fldCharType="begin"/>
      </w:r>
      <w:r>
        <w:rPr>
          <w:color w:val="auto"/>
        </w:rPr>
        <w:instrText xml:space="preserve"> PAGEREF _Toc151721701 \h </w:instrText>
      </w:r>
      <w:r>
        <w:rPr>
          <w:color w:val="auto"/>
        </w:rPr>
        <w:fldChar w:fldCharType="separate"/>
      </w:r>
      <w:r>
        <w:rPr>
          <w:color w:val="auto"/>
        </w:rPr>
        <w:t>8</w:t>
      </w:r>
      <w:r>
        <w:rPr>
          <w:color w:val="auto"/>
        </w:rPr>
        <w:fldChar w:fldCharType="end"/>
      </w:r>
      <w:r>
        <w:rPr>
          <w:color w:val="auto"/>
        </w:rPr>
        <w:fldChar w:fldCharType="end"/>
      </w:r>
    </w:p>
    <w:p>
      <w:pPr>
        <w:pStyle w:val="26"/>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"_Toc151721702" </w:instrText>
      </w:r>
      <w:r>
        <w:rPr>
          <w:color w:val="auto"/>
        </w:rPr>
        <w:fldChar w:fldCharType="separate"/>
      </w:r>
      <w:r>
        <w:rPr>
          <w:rStyle w:val="36"/>
          <w:color w:val="auto"/>
          <w14:scene3d w14:prst="orthographicFront">
            <w14:lightRig w14:rig="threePt" w14:dir="t">
              <w14:rot w14:lat="0" w14:lon="0" w14:rev="0"/>
            </w14:lightRig>
          </w14:scene3d>
        </w:rPr>
        <w:t>7.4</w:t>
      </w:r>
      <w:r>
        <w:rPr>
          <w:rStyle w:val="36"/>
          <w:color w:val="auto"/>
        </w:rPr>
        <w:t xml:space="preserve"> 调度管理活动的数字化</w:t>
      </w:r>
      <w:r>
        <w:rPr>
          <w:color w:val="auto"/>
        </w:rPr>
        <w:tab/>
      </w:r>
      <w:r>
        <w:rPr>
          <w:color w:val="auto"/>
        </w:rPr>
        <w:fldChar w:fldCharType="begin"/>
      </w:r>
      <w:r>
        <w:rPr>
          <w:color w:val="auto"/>
        </w:rPr>
        <w:instrText xml:space="preserve"> PAGEREF _Toc151721702 \h </w:instrText>
      </w:r>
      <w:r>
        <w:rPr>
          <w:color w:val="auto"/>
        </w:rPr>
        <w:fldChar w:fldCharType="separate"/>
      </w:r>
      <w:r>
        <w:rPr>
          <w:color w:val="auto"/>
        </w:rPr>
        <w:t>8</w:t>
      </w:r>
      <w:r>
        <w:rPr>
          <w:color w:val="auto"/>
        </w:rPr>
        <w:fldChar w:fldCharType="end"/>
      </w:r>
      <w:r>
        <w:rPr>
          <w:color w:val="auto"/>
        </w:rPr>
        <w:fldChar w:fldCharType="end"/>
      </w:r>
    </w:p>
    <w:p>
      <w:pPr>
        <w:pStyle w:val="26"/>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"_Toc151721703" </w:instrText>
      </w:r>
      <w:r>
        <w:rPr>
          <w:color w:val="auto"/>
        </w:rPr>
        <w:fldChar w:fldCharType="separate"/>
      </w:r>
      <w:r>
        <w:rPr>
          <w:rStyle w:val="36"/>
          <w:color w:val="auto"/>
          <w14:scene3d w14:prst="orthographicFront">
            <w14:lightRig w14:rig="threePt" w14:dir="t">
              <w14:rot w14:lat="0" w14:lon="0" w14:rev="0"/>
            </w14:lightRig>
          </w14:scene3d>
        </w:rPr>
        <w:t>7.5</w:t>
      </w:r>
      <w:r>
        <w:rPr>
          <w:rStyle w:val="36"/>
          <w:color w:val="auto"/>
        </w:rPr>
        <w:t xml:space="preserve"> 资产管理活动的数字化</w:t>
      </w:r>
      <w:r>
        <w:rPr>
          <w:color w:val="auto"/>
        </w:rPr>
        <w:tab/>
      </w:r>
      <w:r>
        <w:rPr>
          <w:color w:val="auto"/>
        </w:rPr>
        <w:fldChar w:fldCharType="begin"/>
      </w:r>
      <w:r>
        <w:rPr>
          <w:color w:val="auto"/>
        </w:rPr>
        <w:instrText xml:space="preserve"> PAGEREF _Toc151721703 \h </w:instrText>
      </w:r>
      <w:r>
        <w:rPr>
          <w:color w:val="auto"/>
        </w:rPr>
        <w:fldChar w:fldCharType="separate"/>
      </w:r>
      <w:r>
        <w:rPr>
          <w:color w:val="auto"/>
        </w:rPr>
        <w:t>9</w:t>
      </w:r>
      <w:r>
        <w:rPr>
          <w:color w:val="auto"/>
        </w:rPr>
        <w:fldChar w:fldCharType="end"/>
      </w:r>
      <w:r>
        <w:rPr>
          <w:color w:val="auto"/>
        </w:rPr>
        <w:fldChar w:fldCharType="end"/>
      </w:r>
    </w:p>
    <w:p>
      <w:pPr>
        <w:pStyle w:val="26"/>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"_Toc151721704" </w:instrText>
      </w:r>
      <w:r>
        <w:rPr>
          <w:color w:val="auto"/>
        </w:rPr>
        <w:fldChar w:fldCharType="separate"/>
      </w:r>
      <w:r>
        <w:rPr>
          <w:rStyle w:val="36"/>
          <w:color w:val="auto"/>
          <w14:scene3d w14:prst="orthographicFront">
            <w14:lightRig w14:rig="threePt" w14:dir="t">
              <w14:rot w14:lat="0" w14:lon="0" w14:rev="0"/>
            </w14:lightRig>
          </w14:scene3d>
        </w:rPr>
        <w:t>7.6</w:t>
      </w:r>
      <w:r>
        <w:rPr>
          <w:rStyle w:val="36"/>
          <w:color w:val="auto"/>
        </w:rPr>
        <w:t xml:space="preserve"> 能源管理活动的数字化</w:t>
      </w:r>
      <w:r>
        <w:rPr>
          <w:color w:val="auto"/>
        </w:rPr>
        <w:tab/>
      </w:r>
      <w:r>
        <w:rPr>
          <w:color w:val="auto"/>
        </w:rPr>
        <w:fldChar w:fldCharType="begin"/>
      </w:r>
      <w:r>
        <w:rPr>
          <w:color w:val="auto"/>
        </w:rPr>
        <w:instrText xml:space="preserve"> PAGEREF _Toc151721704 \h </w:instrText>
      </w:r>
      <w:r>
        <w:rPr>
          <w:color w:val="auto"/>
        </w:rPr>
        <w:fldChar w:fldCharType="separate"/>
      </w:r>
      <w:r>
        <w:rPr>
          <w:color w:val="auto"/>
        </w:rPr>
        <w:t>9</w:t>
      </w:r>
      <w:r>
        <w:rPr>
          <w:color w:val="auto"/>
        </w:rPr>
        <w:fldChar w:fldCharType="end"/>
      </w:r>
      <w:r>
        <w:rPr>
          <w:color w:val="auto"/>
        </w:rPr>
        <w:fldChar w:fldCharType="end"/>
      </w:r>
    </w:p>
    <w:p>
      <w:pPr>
        <w:pStyle w:val="26"/>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"_Toc151721705" </w:instrText>
      </w:r>
      <w:r>
        <w:rPr>
          <w:color w:val="auto"/>
        </w:rPr>
        <w:fldChar w:fldCharType="separate"/>
      </w:r>
      <w:r>
        <w:rPr>
          <w:rStyle w:val="36"/>
          <w:color w:val="auto"/>
          <w14:scene3d w14:prst="orthographicFront">
            <w14:lightRig w14:rig="threePt" w14:dir="t">
              <w14:rot w14:lat="0" w14:lon="0" w14:rev="0"/>
            </w14:lightRig>
          </w14:scene3d>
        </w:rPr>
        <w:t>7.7</w:t>
      </w:r>
      <w:r>
        <w:rPr>
          <w:rStyle w:val="36"/>
          <w:color w:val="auto"/>
        </w:rPr>
        <w:t xml:space="preserve"> 安全管理活动的数字化</w:t>
      </w:r>
      <w:r>
        <w:rPr>
          <w:color w:val="auto"/>
        </w:rPr>
        <w:tab/>
      </w:r>
      <w:r>
        <w:rPr>
          <w:color w:val="auto"/>
        </w:rPr>
        <w:fldChar w:fldCharType="begin"/>
      </w:r>
      <w:r>
        <w:rPr>
          <w:color w:val="auto"/>
        </w:rPr>
        <w:instrText xml:space="preserve"> PAGEREF _Toc151721705 \h </w:instrText>
      </w:r>
      <w:r>
        <w:rPr>
          <w:color w:val="auto"/>
        </w:rPr>
        <w:fldChar w:fldCharType="separate"/>
      </w:r>
      <w:r>
        <w:rPr>
          <w:color w:val="auto"/>
        </w:rPr>
        <w:t>9</w:t>
      </w:r>
      <w:r>
        <w:rPr>
          <w:color w:val="auto"/>
        </w:rPr>
        <w:fldChar w:fldCharType="end"/>
      </w:r>
      <w:r>
        <w:rPr>
          <w:color w:val="auto"/>
        </w:rPr>
        <w:fldChar w:fldCharType="end"/>
      </w:r>
    </w:p>
    <w:p>
      <w:pPr>
        <w:pStyle w:val="26"/>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"_Toc151721706" </w:instrText>
      </w:r>
      <w:r>
        <w:rPr>
          <w:color w:val="auto"/>
        </w:rPr>
        <w:fldChar w:fldCharType="separate"/>
      </w:r>
      <w:r>
        <w:rPr>
          <w:rStyle w:val="36"/>
          <w:color w:val="auto"/>
          <w14:scene3d w14:prst="orthographicFront">
            <w14:lightRig w14:rig="threePt" w14:dir="t">
              <w14:rot w14:lat="0" w14:lon="0" w14:rev="0"/>
            </w14:lightRig>
          </w14:scene3d>
        </w:rPr>
        <w:t>7.8</w:t>
      </w:r>
      <w:r>
        <w:rPr>
          <w:rStyle w:val="36"/>
          <w:color w:val="auto"/>
        </w:rPr>
        <w:t xml:space="preserve"> 碳管理活动的数字化</w:t>
      </w:r>
      <w:r>
        <w:rPr>
          <w:color w:val="auto"/>
        </w:rPr>
        <w:tab/>
      </w:r>
      <w:r>
        <w:rPr>
          <w:color w:val="auto"/>
        </w:rPr>
        <w:fldChar w:fldCharType="begin"/>
      </w:r>
      <w:r>
        <w:rPr>
          <w:color w:val="auto"/>
        </w:rPr>
        <w:instrText xml:space="preserve"> PAGEREF _Toc151721706 \h </w:instrText>
      </w:r>
      <w:r>
        <w:rPr>
          <w:color w:val="auto"/>
        </w:rPr>
        <w:fldChar w:fldCharType="separate"/>
      </w:r>
      <w:r>
        <w:rPr>
          <w:color w:val="auto"/>
        </w:rPr>
        <w:t>9</w:t>
      </w:r>
      <w:r>
        <w:rPr>
          <w:color w:val="auto"/>
        </w:rPr>
        <w:fldChar w:fldCharType="end"/>
      </w:r>
      <w:r>
        <w:rPr>
          <w:color w:val="auto"/>
        </w:rPr>
        <w:fldChar w:fldCharType="end"/>
      </w:r>
    </w:p>
    <w:p>
      <w:pPr>
        <w:pStyle w:val="26"/>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"_Toc151721707" </w:instrText>
      </w:r>
      <w:r>
        <w:rPr>
          <w:color w:val="auto"/>
        </w:rPr>
        <w:fldChar w:fldCharType="separate"/>
      </w:r>
      <w:r>
        <w:rPr>
          <w:rStyle w:val="36"/>
          <w:color w:val="auto"/>
          <w14:scene3d w14:prst="orthographicFront">
            <w14:lightRig w14:rig="threePt" w14:dir="t">
              <w14:rot w14:lat="0" w14:lon="0" w14:rev="0"/>
            </w14:lightRig>
          </w14:scene3d>
        </w:rPr>
        <w:t>7.9</w:t>
      </w:r>
      <w:r>
        <w:rPr>
          <w:rStyle w:val="36"/>
          <w:color w:val="auto"/>
        </w:rPr>
        <w:t xml:space="preserve"> 数据管理</w:t>
      </w:r>
      <w:r>
        <w:rPr>
          <w:color w:val="auto"/>
        </w:rPr>
        <w:tab/>
      </w:r>
      <w:r>
        <w:rPr>
          <w:color w:val="auto"/>
        </w:rPr>
        <w:fldChar w:fldCharType="begin"/>
      </w:r>
      <w:r>
        <w:rPr>
          <w:color w:val="auto"/>
        </w:rPr>
        <w:instrText xml:space="preserve"> PAGEREF _Toc151721707 \h </w:instrText>
      </w:r>
      <w:r>
        <w:rPr>
          <w:color w:val="auto"/>
        </w:rPr>
        <w:fldChar w:fldCharType="separate"/>
      </w:r>
      <w:r>
        <w:rPr>
          <w:color w:val="auto"/>
        </w:rPr>
        <w:t>9</w:t>
      </w:r>
      <w:r>
        <w:rPr>
          <w:color w:val="auto"/>
        </w:rPr>
        <w:fldChar w:fldCharType="end"/>
      </w:r>
      <w:r>
        <w:rPr>
          <w:color w:val="auto"/>
        </w:rPr>
        <w:fldChar w:fldCharType="end"/>
      </w:r>
    </w:p>
    <w:p>
      <w:pPr>
        <w:pStyle w:val="21"/>
        <w:tabs>
          <w:tab w:val="right" w:leader="dot" w:pos="9344"/>
        </w:tabs>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"_Toc151721708" </w:instrText>
      </w:r>
      <w:r>
        <w:rPr>
          <w:color w:val="auto"/>
        </w:rPr>
        <w:fldChar w:fldCharType="separate"/>
      </w:r>
      <w:r>
        <w:rPr>
          <w:rStyle w:val="36"/>
          <w:color w:val="auto"/>
        </w:rPr>
        <w:t>8 物流园区数字化的保障要求</w:t>
      </w:r>
      <w:r>
        <w:rPr>
          <w:color w:val="auto"/>
        </w:rPr>
        <w:tab/>
      </w:r>
      <w:r>
        <w:rPr>
          <w:color w:val="auto"/>
        </w:rPr>
        <w:fldChar w:fldCharType="begin"/>
      </w:r>
      <w:r>
        <w:rPr>
          <w:color w:val="auto"/>
        </w:rPr>
        <w:instrText xml:space="preserve"> PAGEREF _Toc151721708 \h </w:instrText>
      </w:r>
      <w:r>
        <w:rPr>
          <w:color w:val="auto"/>
        </w:rPr>
        <w:fldChar w:fldCharType="separate"/>
      </w:r>
      <w:r>
        <w:rPr>
          <w:color w:val="auto"/>
        </w:rPr>
        <w:t>10</w:t>
      </w:r>
      <w:r>
        <w:rPr>
          <w:color w:val="auto"/>
        </w:rPr>
        <w:fldChar w:fldCharType="end"/>
      </w:r>
      <w:r>
        <w:rPr>
          <w:color w:val="auto"/>
        </w:rPr>
        <w:fldChar w:fldCharType="end"/>
      </w:r>
    </w:p>
    <w:p>
      <w:pPr>
        <w:pStyle w:val="26"/>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"_Toc151721709" </w:instrText>
      </w:r>
      <w:r>
        <w:rPr>
          <w:color w:val="auto"/>
        </w:rPr>
        <w:fldChar w:fldCharType="separate"/>
      </w:r>
      <w:r>
        <w:rPr>
          <w:rStyle w:val="36"/>
          <w:color w:val="auto"/>
          <w14:scene3d w14:prst="orthographicFront">
            <w14:lightRig w14:rig="threePt" w14:dir="t">
              <w14:rot w14:lat="0" w14:lon="0" w14:rev="0"/>
            </w14:lightRig>
          </w14:scene3d>
        </w:rPr>
        <w:t>8.1</w:t>
      </w:r>
      <w:r>
        <w:rPr>
          <w:rStyle w:val="36"/>
          <w:color w:val="auto"/>
        </w:rPr>
        <w:t xml:space="preserve"> 平台</w:t>
      </w:r>
      <w:r>
        <w:rPr>
          <w:color w:val="auto"/>
        </w:rPr>
        <w:tab/>
      </w:r>
      <w:r>
        <w:rPr>
          <w:color w:val="auto"/>
        </w:rPr>
        <w:fldChar w:fldCharType="begin"/>
      </w:r>
      <w:r>
        <w:rPr>
          <w:color w:val="auto"/>
        </w:rPr>
        <w:instrText xml:space="preserve"> PAGEREF _Toc151721709 \h </w:instrText>
      </w:r>
      <w:r>
        <w:rPr>
          <w:color w:val="auto"/>
        </w:rPr>
        <w:fldChar w:fldCharType="separate"/>
      </w:r>
      <w:r>
        <w:rPr>
          <w:color w:val="auto"/>
        </w:rPr>
        <w:t>10</w:t>
      </w:r>
      <w:r>
        <w:rPr>
          <w:color w:val="auto"/>
        </w:rPr>
        <w:fldChar w:fldCharType="end"/>
      </w:r>
      <w:r>
        <w:rPr>
          <w:color w:val="auto"/>
        </w:rPr>
        <w:fldChar w:fldCharType="end"/>
      </w:r>
    </w:p>
    <w:p>
      <w:pPr>
        <w:pStyle w:val="26"/>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"_Toc151721710" </w:instrText>
      </w:r>
      <w:r>
        <w:rPr>
          <w:color w:val="auto"/>
        </w:rPr>
        <w:fldChar w:fldCharType="separate"/>
      </w:r>
      <w:r>
        <w:rPr>
          <w:rStyle w:val="36"/>
          <w:color w:val="auto"/>
          <w14:scene3d w14:prst="orthographicFront">
            <w14:lightRig w14:rig="threePt" w14:dir="t">
              <w14:rot w14:lat="0" w14:lon="0" w14:rev="0"/>
            </w14:lightRig>
          </w14:scene3d>
        </w:rPr>
        <w:t>8.2</w:t>
      </w:r>
      <w:r>
        <w:rPr>
          <w:rStyle w:val="36"/>
          <w:color w:val="auto"/>
        </w:rPr>
        <w:t xml:space="preserve"> 人员</w:t>
      </w:r>
      <w:r>
        <w:rPr>
          <w:color w:val="auto"/>
        </w:rPr>
        <w:tab/>
      </w:r>
      <w:r>
        <w:rPr>
          <w:color w:val="auto"/>
        </w:rPr>
        <w:fldChar w:fldCharType="begin"/>
      </w:r>
      <w:r>
        <w:rPr>
          <w:color w:val="auto"/>
        </w:rPr>
        <w:instrText xml:space="preserve"> PAGEREF _Toc151721710 \h </w:instrText>
      </w:r>
      <w:r>
        <w:rPr>
          <w:color w:val="auto"/>
        </w:rPr>
        <w:fldChar w:fldCharType="separate"/>
      </w:r>
      <w:r>
        <w:rPr>
          <w:color w:val="auto"/>
        </w:rPr>
        <w:t>10</w:t>
      </w:r>
      <w:r>
        <w:rPr>
          <w:color w:val="auto"/>
        </w:rPr>
        <w:fldChar w:fldCharType="end"/>
      </w:r>
      <w:r>
        <w:rPr>
          <w:color w:val="auto"/>
        </w:rPr>
        <w:fldChar w:fldCharType="end"/>
      </w:r>
    </w:p>
    <w:p>
      <w:pPr>
        <w:pStyle w:val="26"/>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"_Toc151721711" </w:instrText>
      </w:r>
      <w:r>
        <w:rPr>
          <w:color w:val="auto"/>
        </w:rPr>
        <w:fldChar w:fldCharType="separate"/>
      </w:r>
      <w:r>
        <w:rPr>
          <w:rStyle w:val="36"/>
          <w:color w:val="auto"/>
          <w14:scene3d w14:prst="orthographicFront">
            <w14:lightRig w14:rig="threePt" w14:dir="t">
              <w14:rot w14:lat="0" w14:lon="0" w14:rev="0"/>
            </w14:lightRig>
          </w14:scene3d>
        </w:rPr>
        <w:t>8.3</w:t>
      </w:r>
      <w:r>
        <w:rPr>
          <w:rStyle w:val="36"/>
          <w:color w:val="auto"/>
        </w:rPr>
        <w:t xml:space="preserve"> 设施设备</w:t>
      </w:r>
      <w:r>
        <w:rPr>
          <w:color w:val="auto"/>
        </w:rPr>
        <w:tab/>
      </w:r>
      <w:r>
        <w:rPr>
          <w:color w:val="auto"/>
        </w:rPr>
        <w:fldChar w:fldCharType="begin"/>
      </w:r>
      <w:r>
        <w:rPr>
          <w:color w:val="auto"/>
        </w:rPr>
        <w:instrText xml:space="preserve"> PAGEREF _Toc151721711 \h </w:instrText>
      </w:r>
      <w:r>
        <w:rPr>
          <w:color w:val="auto"/>
        </w:rPr>
        <w:fldChar w:fldCharType="separate"/>
      </w:r>
      <w:r>
        <w:rPr>
          <w:color w:val="auto"/>
        </w:rPr>
        <w:t>10</w:t>
      </w:r>
      <w:r>
        <w:rPr>
          <w:color w:val="auto"/>
        </w:rPr>
        <w:fldChar w:fldCharType="end"/>
      </w:r>
      <w:r>
        <w:rPr>
          <w:color w:val="auto"/>
        </w:rPr>
        <w:fldChar w:fldCharType="end"/>
      </w:r>
    </w:p>
    <w:p>
      <w:pPr>
        <w:pStyle w:val="26"/>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"_Toc151721712" </w:instrText>
      </w:r>
      <w:r>
        <w:rPr>
          <w:color w:val="auto"/>
        </w:rPr>
        <w:fldChar w:fldCharType="separate"/>
      </w:r>
      <w:r>
        <w:rPr>
          <w:rStyle w:val="36"/>
          <w:color w:val="auto"/>
          <w14:scene3d w14:prst="orthographicFront">
            <w14:lightRig w14:rig="threePt" w14:dir="t">
              <w14:rot w14:lat="0" w14:lon="0" w14:rev="0"/>
            </w14:lightRig>
          </w14:scene3d>
        </w:rPr>
        <w:t>8.4</w:t>
      </w:r>
      <w:r>
        <w:rPr>
          <w:rStyle w:val="36"/>
          <w:color w:val="auto"/>
        </w:rPr>
        <w:t xml:space="preserve"> 安全</w:t>
      </w:r>
      <w:r>
        <w:rPr>
          <w:color w:val="auto"/>
        </w:rPr>
        <w:tab/>
      </w:r>
      <w:r>
        <w:rPr>
          <w:color w:val="auto"/>
        </w:rPr>
        <w:fldChar w:fldCharType="begin"/>
      </w:r>
      <w:r>
        <w:rPr>
          <w:color w:val="auto"/>
        </w:rPr>
        <w:instrText xml:space="preserve"> PAGEREF _Toc151721712 \h </w:instrText>
      </w:r>
      <w:r>
        <w:rPr>
          <w:color w:val="auto"/>
        </w:rPr>
        <w:fldChar w:fldCharType="separate"/>
      </w:r>
      <w:r>
        <w:rPr>
          <w:color w:val="auto"/>
        </w:rPr>
        <w:t>11</w:t>
      </w:r>
      <w:r>
        <w:rPr>
          <w:color w:val="auto"/>
        </w:rPr>
        <w:fldChar w:fldCharType="end"/>
      </w:r>
      <w:r>
        <w:rPr>
          <w:color w:val="auto"/>
        </w:rPr>
        <w:fldChar w:fldCharType="end"/>
      </w:r>
    </w:p>
    <w:p>
      <w:pPr>
        <w:pStyle w:val="26"/>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"_Toc151721713" </w:instrText>
      </w:r>
      <w:r>
        <w:rPr>
          <w:color w:val="auto"/>
        </w:rPr>
        <w:fldChar w:fldCharType="separate"/>
      </w:r>
      <w:r>
        <w:rPr>
          <w:rStyle w:val="36"/>
          <w:color w:val="auto"/>
          <w14:scene3d w14:prst="orthographicFront">
            <w14:lightRig w14:rig="threePt" w14:dir="t">
              <w14:rot w14:lat="0" w14:lon="0" w14:rev="0"/>
            </w14:lightRig>
          </w14:scene3d>
        </w:rPr>
        <w:t>8.5</w:t>
      </w:r>
      <w:r>
        <w:rPr>
          <w:rStyle w:val="36"/>
          <w:color w:val="auto"/>
        </w:rPr>
        <w:t xml:space="preserve"> 应急</w:t>
      </w:r>
      <w:r>
        <w:rPr>
          <w:color w:val="auto"/>
        </w:rPr>
        <w:tab/>
      </w:r>
      <w:r>
        <w:rPr>
          <w:color w:val="auto"/>
        </w:rPr>
        <w:fldChar w:fldCharType="begin"/>
      </w:r>
      <w:r>
        <w:rPr>
          <w:color w:val="auto"/>
        </w:rPr>
        <w:instrText xml:space="preserve"> PAGEREF _Toc151721713 \h </w:instrText>
      </w:r>
      <w:r>
        <w:rPr>
          <w:color w:val="auto"/>
        </w:rPr>
        <w:fldChar w:fldCharType="separate"/>
      </w:r>
      <w:r>
        <w:rPr>
          <w:color w:val="auto"/>
        </w:rPr>
        <w:t>11</w:t>
      </w:r>
      <w:r>
        <w:rPr>
          <w:color w:val="auto"/>
        </w:rPr>
        <w:fldChar w:fldCharType="end"/>
      </w:r>
      <w:r>
        <w:rPr>
          <w:color w:val="auto"/>
        </w:rPr>
        <w:fldChar w:fldCharType="end"/>
      </w:r>
    </w:p>
    <w:p>
      <w:pPr>
        <w:pStyle w:val="21"/>
        <w:tabs>
          <w:tab w:val="right" w:leader="dot" w:pos="9344"/>
        </w:tabs>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"_Toc151721714" </w:instrText>
      </w:r>
      <w:r>
        <w:rPr>
          <w:color w:val="auto"/>
        </w:rPr>
        <w:fldChar w:fldCharType="separate"/>
      </w:r>
      <w:r>
        <w:rPr>
          <w:rStyle w:val="36"/>
          <w:color w:val="auto"/>
          <w:spacing w:val="105"/>
        </w:rPr>
        <w:t>参考文</w:t>
      </w:r>
      <w:r>
        <w:rPr>
          <w:rStyle w:val="36"/>
          <w:color w:val="auto"/>
        </w:rPr>
        <w:t>献</w:t>
      </w:r>
      <w:r>
        <w:rPr>
          <w:color w:val="auto"/>
        </w:rPr>
        <w:tab/>
      </w:r>
      <w:r>
        <w:rPr>
          <w:color w:val="auto"/>
        </w:rPr>
        <w:fldChar w:fldCharType="begin"/>
      </w:r>
      <w:r>
        <w:rPr>
          <w:color w:val="auto"/>
        </w:rPr>
        <w:instrText xml:space="preserve"> PAGEREF _Toc151721714 \h </w:instrText>
      </w:r>
      <w:r>
        <w:rPr>
          <w:color w:val="auto"/>
        </w:rPr>
        <w:fldChar w:fldCharType="separate"/>
      </w:r>
      <w:r>
        <w:rPr>
          <w:color w:val="auto"/>
        </w:rPr>
        <w:t>11</w:t>
      </w:r>
      <w:r>
        <w:rPr>
          <w:color w:val="auto"/>
        </w:rPr>
        <w:fldChar w:fldCharType="end"/>
      </w:r>
      <w:r>
        <w:rPr>
          <w:color w:val="auto"/>
        </w:rPr>
        <w:fldChar w:fldCharType="end"/>
      </w:r>
    </w:p>
    <w:p>
      <w:pPr>
        <w:pStyle w:val="96"/>
        <w:spacing w:after="468"/>
        <w:rPr>
          <w:color w:val="auto"/>
        </w:rPr>
        <w:sectPr>
          <w:headerReference r:id="rId9" w:type="default"/>
          <w:footerReference r:id="rId11" w:type="default"/>
          <w:headerReference r:id="rId10" w:type="even"/>
          <w:pgSz w:w="11906" w:h="16838"/>
          <w:pgMar w:top="2410" w:right="1134" w:bottom="1134" w:left="1134" w:header="1418" w:footer="1134" w:gutter="284"/>
          <w:pgNumType w:fmt="upperRoman" w:start="1"/>
          <w:cols w:space="425" w:num="1"/>
          <w:formProt w:val="0"/>
          <w:docGrid w:type="lines" w:linePitch="312" w:charSpace="0"/>
        </w:sectPr>
      </w:pPr>
      <w:r>
        <w:rPr>
          <w:color w:val="auto"/>
        </w:rPr>
        <w:fldChar w:fldCharType="end"/>
      </w:r>
    </w:p>
    <w:bookmarkEnd w:id="19"/>
    <w:p>
      <w:pPr>
        <w:pStyle w:val="94"/>
        <w:spacing w:after="468"/>
        <w:rPr>
          <w:color w:val="auto"/>
        </w:rPr>
      </w:pPr>
      <w:bookmarkStart w:id="22" w:name="_Toc151721678"/>
      <w:bookmarkStart w:id="23" w:name="BookMark2"/>
      <w:r>
        <w:rPr>
          <w:color w:val="auto"/>
          <w:spacing w:val="320"/>
        </w:rPr>
        <w:t>前</w:t>
      </w:r>
      <w:r>
        <w:rPr>
          <w:color w:val="auto"/>
        </w:rPr>
        <w:t>言</w:t>
      </w:r>
      <w:bookmarkEnd w:id="20"/>
      <w:bookmarkEnd w:id="21"/>
      <w:bookmarkEnd w:id="22"/>
    </w:p>
    <w:p>
      <w:pPr>
        <w:pStyle w:val="61"/>
        <w:ind w:firstLine="420"/>
        <w:rPr>
          <w:color w:val="auto"/>
        </w:rPr>
      </w:pPr>
      <w:r>
        <w:rPr>
          <w:rFonts w:hint="eastAsia"/>
          <w:color w:val="auto"/>
        </w:rPr>
        <w:t>本文件按照GB/T 1.1—2020《标准化工作导则  第1部分：标准化文件的结构和起草规则》的规定起草。</w:t>
      </w:r>
    </w:p>
    <w:p>
      <w:pPr>
        <w:pStyle w:val="61"/>
        <w:ind w:firstLine="420"/>
        <w:rPr>
          <w:color w:val="auto"/>
        </w:rPr>
      </w:pPr>
      <w:r>
        <w:rPr>
          <w:rFonts w:hint="eastAsia"/>
          <w:color w:val="auto"/>
        </w:rPr>
        <w:t>请注意本文件的某些内容可能涉及专利。本文件的发布机构不承担识别专利的责任。</w:t>
      </w:r>
    </w:p>
    <w:p>
      <w:pPr>
        <w:pStyle w:val="61"/>
        <w:ind w:firstLine="420"/>
        <w:rPr>
          <w:color w:val="auto"/>
        </w:rPr>
      </w:pPr>
      <w:r>
        <w:rPr>
          <w:rFonts w:hint="eastAsia"/>
          <w:color w:val="auto"/>
        </w:rPr>
        <w:t>本文件由全国物流标准化技术委员会（SAC/TC 269）提出。</w:t>
      </w:r>
    </w:p>
    <w:p>
      <w:pPr>
        <w:pStyle w:val="61"/>
        <w:ind w:firstLine="420"/>
        <w:rPr>
          <w:color w:val="auto"/>
        </w:rPr>
      </w:pPr>
      <w:r>
        <w:rPr>
          <w:rFonts w:hint="eastAsia"/>
          <w:color w:val="auto"/>
        </w:rPr>
        <w:t>本文件由全国物流标准化技术委员会（SAC/TC 269）、全国物流信息管理标准化技术委员会（SAC/TC 267）归口。</w:t>
      </w:r>
    </w:p>
    <w:p>
      <w:pPr>
        <w:pStyle w:val="61"/>
        <w:ind w:firstLine="420"/>
        <w:rPr>
          <w:color w:val="auto"/>
        </w:rPr>
      </w:pPr>
      <w:r>
        <w:rPr>
          <w:rFonts w:hint="eastAsia"/>
          <w:color w:val="auto"/>
        </w:rPr>
        <w:t>本文件起草单位：日日顺供应链科技股份有限公司、天津大学、普洛斯科技（上海）有限公司、北京京东乾石科技有限公司、鞍山钢铁集团有限公司、中电信数智科技有限公司青岛分公司、中兴通讯股份有限公司、山东京博物流股份有限公司、杭州海康机器人股份有限公司、辽宁科技大学、中国联通服装军团、中国科学技术大学、帷幄智能科技（天津）有限公司、兰剑智能科技股份有限公司、兰剑智能科技（临邑）有限公司、物资节能中心、运易通科技有限公司、上海海屹建筑设计有限公司、北京交通大学、山东顺和商贸集团有限公司、中车长江运输设备集团有限公司。</w:t>
      </w:r>
    </w:p>
    <w:p>
      <w:pPr>
        <w:pStyle w:val="61"/>
        <w:ind w:firstLine="420"/>
        <w:rPr>
          <w:color w:val="auto"/>
        </w:rPr>
      </w:pPr>
      <w:r>
        <w:rPr>
          <w:rFonts w:hint="eastAsia"/>
          <w:color w:val="auto"/>
        </w:rPr>
        <w:t>本文件主要起草人：乔显苓、刘伟华、孙潇峰、段红杰、蔡国良、马涛、龙尚松、梁艳杰、魏爽、张剑锋、陶蓉、乔晓强、张雷、侯海云、刘继丹、仇晨、孙宏斌、刘婷婷、高强、赵东、徐文龙、吴永海、张驰、金玉然、朱晓林、劭杰、宋光敏、余玉刚、刘兵兵、张博、王昌伟、吴耀华、张小艺、沈长鹏、邹霞、刘然、赵洁玉、张桓、齐银才、姚菁燕、张晓东、王沛、曹松荣、赵玉玺、苏利杰、刘凤伟。</w:t>
      </w:r>
    </w:p>
    <w:p>
      <w:pPr>
        <w:pStyle w:val="61"/>
        <w:ind w:firstLine="420"/>
        <w:rPr>
          <w:color w:val="auto"/>
        </w:rPr>
        <w:sectPr>
          <w:pgSz w:w="11906" w:h="16838"/>
          <w:pgMar w:top="2410" w:right="1134" w:bottom="1134" w:left="1134" w:header="1418" w:footer="1134" w:gutter="284"/>
          <w:pgNumType w:fmt="upperRoman"/>
          <w:cols w:space="425" w:num="1"/>
          <w:formProt w:val="0"/>
          <w:docGrid w:type="lines" w:linePitch="312" w:charSpace="0"/>
        </w:sectPr>
      </w:pPr>
    </w:p>
    <w:bookmarkEnd w:id="23"/>
    <w:p>
      <w:pPr>
        <w:spacing w:line="20" w:lineRule="exact"/>
        <w:jc w:val="center"/>
        <w:rPr>
          <w:rFonts w:ascii="黑体" w:hAnsi="黑体" w:eastAsia="黑体"/>
          <w:color w:val="auto"/>
        </w:rPr>
      </w:pPr>
      <w:bookmarkStart w:id="24" w:name="BookMark4"/>
    </w:p>
    <w:p>
      <w:pPr>
        <w:spacing w:line="20" w:lineRule="exact"/>
        <w:jc w:val="center"/>
        <w:rPr>
          <w:rFonts w:ascii="黑体" w:hAnsi="黑体" w:eastAsia="黑体"/>
          <w:color w:val="auto"/>
          <w:sz w:val="32"/>
          <w:szCs w:val="32"/>
        </w:rPr>
      </w:pPr>
    </w:p>
    <w:sdt>
      <w:sdtPr>
        <w:rPr>
          <w:color w:val="auto"/>
        </w:rPr>
        <w:tag w:val="NEW_STAND_NAME"/>
        <w:id w:val="595910757"/>
        <w:lock w:val="sdtLocked"/>
        <w:placeholder>
          <w:docPart w:val="F9E9848D1B8A4CFCB32632D92B166EEC"/>
        </w:placeholder>
      </w:sdtPr>
      <w:sdtEndPr>
        <w:rPr>
          <w:color w:val="auto"/>
        </w:rPr>
      </w:sdtEndPr>
      <w:sdtContent>
        <w:p>
          <w:pPr>
            <w:pStyle w:val="182"/>
            <w:spacing w:before="3" w:beforeLines="1" w:after="686" w:afterLines="220"/>
            <w:rPr>
              <w:color w:val="auto"/>
            </w:rPr>
          </w:pPr>
          <w:bookmarkStart w:id="25" w:name="NEW_STAND_NAME"/>
          <w:r>
            <w:rPr>
              <w:rFonts w:hint="eastAsia"/>
              <w:color w:val="auto"/>
            </w:rPr>
            <w:t>物流园区数字化通用技术要求</w:t>
          </w:r>
        </w:p>
      </w:sdtContent>
    </w:sdt>
    <w:bookmarkEnd w:id="25"/>
    <w:p>
      <w:pPr>
        <w:pStyle w:val="109"/>
        <w:spacing w:before="312" w:after="312"/>
        <w:rPr>
          <w:color w:val="auto"/>
        </w:rPr>
      </w:pPr>
      <w:bookmarkStart w:id="26" w:name="_Toc24884211"/>
      <w:bookmarkStart w:id="27" w:name="_Toc24884218"/>
      <w:bookmarkStart w:id="28" w:name="_Toc26718930"/>
      <w:bookmarkStart w:id="29" w:name="_Toc26986530"/>
      <w:bookmarkStart w:id="30" w:name="_Toc17233325"/>
      <w:bookmarkStart w:id="31" w:name="_Toc17233333"/>
      <w:bookmarkStart w:id="32" w:name="_Toc93173125"/>
      <w:bookmarkStart w:id="33" w:name="_Toc26986771"/>
      <w:bookmarkStart w:id="34" w:name="_Toc91057832"/>
      <w:bookmarkStart w:id="35" w:name="_Toc26648465"/>
      <w:bookmarkStart w:id="36" w:name="_Toc151721679"/>
      <w:bookmarkStart w:id="37" w:name="_Toc93145580"/>
      <w:r>
        <w:rPr>
          <w:rFonts w:hint="eastAsia"/>
          <w:color w:val="auto"/>
        </w:rPr>
        <w:t>范围</w:t>
      </w:r>
      <w:bookmarkEnd w:id="26"/>
      <w:bookmarkEnd w:id="27"/>
      <w:bookmarkEnd w:id="28"/>
      <w:bookmarkEnd w:id="29"/>
      <w:bookmarkEnd w:id="30"/>
      <w:bookmarkEnd w:id="31"/>
      <w:bookmarkEnd w:id="32"/>
      <w:bookmarkEnd w:id="33"/>
      <w:bookmarkEnd w:id="34"/>
      <w:bookmarkEnd w:id="35"/>
      <w:bookmarkEnd w:id="36"/>
      <w:bookmarkEnd w:id="37"/>
    </w:p>
    <w:p>
      <w:pPr>
        <w:pStyle w:val="61"/>
        <w:ind w:firstLine="420"/>
        <w:rPr>
          <w:color w:val="auto"/>
        </w:rPr>
      </w:pPr>
      <w:bookmarkStart w:id="38" w:name="_Toc26648466"/>
      <w:bookmarkStart w:id="39" w:name="_Toc24884219"/>
      <w:bookmarkStart w:id="40" w:name="_Toc24884212"/>
      <w:bookmarkStart w:id="41" w:name="_Toc17233326"/>
      <w:bookmarkStart w:id="42" w:name="_Toc17233334"/>
      <w:r>
        <w:rPr>
          <w:rFonts w:hint="eastAsia"/>
          <w:color w:val="auto"/>
        </w:rPr>
        <w:t>本文件规定了</w:t>
      </w:r>
      <w:bookmarkStart w:id="43" w:name="_Hlk150417484"/>
      <w:r>
        <w:rPr>
          <w:rFonts w:hint="eastAsia"/>
          <w:color w:val="auto"/>
        </w:rPr>
        <w:t>物流园区数字化一般要求、物流园区数字化要素框架、物流园区要素的信息采集、园区管理活动的数字化和物流园区数字化的保障要求。</w:t>
      </w:r>
    </w:p>
    <w:bookmarkEnd w:id="43"/>
    <w:p>
      <w:pPr>
        <w:pStyle w:val="61"/>
        <w:ind w:firstLine="420"/>
        <w:rPr>
          <w:color w:val="auto"/>
        </w:rPr>
      </w:pPr>
      <w:r>
        <w:rPr>
          <w:rFonts w:hint="eastAsia"/>
          <w:color w:val="auto"/>
        </w:rPr>
        <w:t>本文件适用于各类物流园区进行数字化规划、建设和管理。</w:t>
      </w:r>
    </w:p>
    <w:p>
      <w:pPr>
        <w:pStyle w:val="109"/>
        <w:spacing w:before="312" w:after="312"/>
        <w:rPr>
          <w:color w:val="auto"/>
        </w:rPr>
      </w:pPr>
      <w:bookmarkStart w:id="44" w:name="_Toc26718931"/>
      <w:bookmarkStart w:id="45" w:name="_Toc93173126"/>
      <w:bookmarkStart w:id="46" w:name="_Toc93145581"/>
      <w:bookmarkStart w:id="47" w:name="_Toc91057833"/>
      <w:bookmarkStart w:id="48" w:name="_Toc26986531"/>
      <w:bookmarkStart w:id="49" w:name="_Toc26986772"/>
      <w:bookmarkStart w:id="50" w:name="_Toc151721680"/>
      <w:r>
        <w:rPr>
          <w:rFonts w:hint="eastAsia"/>
          <w:color w:val="auto"/>
        </w:rPr>
        <w:t>规范性引用文件</w:t>
      </w:r>
      <w:bookmarkEnd w:id="38"/>
      <w:bookmarkEnd w:id="39"/>
      <w:bookmarkEnd w:id="40"/>
      <w:bookmarkEnd w:id="41"/>
      <w:bookmarkEnd w:id="42"/>
      <w:bookmarkEnd w:id="44"/>
      <w:bookmarkEnd w:id="45"/>
      <w:bookmarkEnd w:id="46"/>
      <w:bookmarkEnd w:id="47"/>
      <w:bookmarkEnd w:id="48"/>
      <w:bookmarkEnd w:id="49"/>
      <w:bookmarkEnd w:id="50"/>
    </w:p>
    <w:sdt>
      <w:sdtPr>
        <w:rPr>
          <w:rFonts w:hint="eastAsia"/>
          <w:color w:val="auto"/>
        </w:rPr>
        <w:id w:val="715848253"/>
        <w:placeholder>
          <w:docPart w:val="A8C161C3DB454220B90841C87920F122"/>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color w:val="auto"/>
        </w:rPr>
      </w:sdtEndPr>
      <w:sdtContent>
        <w:p>
          <w:pPr>
            <w:pStyle w:val="61"/>
            <w:ind w:firstLine="420"/>
            <w:rPr>
              <w:color w:val="auto"/>
            </w:rPr>
          </w:pPr>
          <w:r>
            <w:rPr>
              <w:rFonts w:hint="eastAsia"/>
              <w:color w:val="auto"/>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167"/>
        <w:numPr>
          <w:ilvl w:val="0"/>
          <w:numId w:val="0"/>
        </w:numPr>
        <w:ind w:firstLine="420" w:firstLineChars="200"/>
        <w:rPr>
          <w:rFonts w:ascii="Times New Roman"/>
          <w:color w:val="auto"/>
        </w:rPr>
      </w:pPr>
      <w:bookmarkStart w:id="51" w:name="_Toc93145582"/>
      <w:bookmarkStart w:id="52" w:name="_Toc93173127"/>
      <w:bookmarkStart w:id="53" w:name="_Toc91057834"/>
      <w:r>
        <w:rPr>
          <w:rFonts w:ascii="Times New Roman"/>
          <w:color w:val="auto"/>
        </w:rPr>
        <w:t xml:space="preserve">GB/T 18354 </w:t>
      </w:r>
      <w:r>
        <w:rPr>
          <w:rFonts w:hint="eastAsia" w:ascii="Times New Roman"/>
          <w:color w:val="auto"/>
        </w:rPr>
        <w:t>物流术语</w:t>
      </w:r>
    </w:p>
    <w:p>
      <w:pPr>
        <w:pStyle w:val="61"/>
        <w:ind w:firstLine="420"/>
        <w:rPr>
          <w:color w:val="auto"/>
        </w:rPr>
      </w:pPr>
      <w:r>
        <w:rPr>
          <w:rFonts w:hint="eastAsia" w:ascii="Times New Roman"/>
          <w:color w:val="auto"/>
        </w:rPr>
        <w:t>GB/T 21334</w:t>
      </w:r>
      <w:r>
        <w:rPr>
          <w:rFonts w:ascii="Times New Roman"/>
          <w:color w:val="auto"/>
        </w:rPr>
        <w:t xml:space="preserve"> </w:t>
      </w:r>
      <w:r>
        <w:rPr>
          <w:rFonts w:hint="eastAsia"/>
          <w:color w:val="auto"/>
        </w:rPr>
        <w:t>物流园区分类与规划基本要求</w:t>
      </w:r>
    </w:p>
    <w:p>
      <w:pPr>
        <w:pStyle w:val="109"/>
        <w:spacing w:before="312" w:after="312"/>
        <w:rPr>
          <w:color w:val="auto"/>
        </w:rPr>
      </w:pPr>
      <w:bookmarkStart w:id="54" w:name="_Toc151721681"/>
      <w:r>
        <w:rPr>
          <w:rFonts w:hint="eastAsia"/>
          <w:color w:val="auto"/>
          <w:szCs w:val="21"/>
        </w:rPr>
        <w:t>术语和定义</w:t>
      </w:r>
      <w:bookmarkEnd w:id="51"/>
      <w:bookmarkEnd w:id="52"/>
      <w:bookmarkEnd w:id="53"/>
      <w:bookmarkEnd w:id="54"/>
    </w:p>
    <w:sdt>
      <w:sdtPr>
        <w:rPr>
          <w:rFonts w:ascii="Times New Roman"/>
          <w:color w:val="auto"/>
        </w:rPr>
        <w:id w:val="-1909835108"/>
        <w:placeholder>
          <w:docPart w:val="A8C161C3DB454220B90841C87920F122"/>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ascii="Times New Roman"/>
          <w:color w:val="auto"/>
        </w:rPr>
      </w:sdtEndPr>
      <w:sdtContent>
        <w:p>
          <w:pPr>
            <w:pStyle w:val="61"/>
            <w:ind w:firstLine="420"/>
            <w:rPr>
              <w:color w:val="auto"/>
            </w:rPr>
          </w:pPr>
          <w:bookmarkStart w:id="55" w:name="_Toc26986532"/>
          <w:bookmarkEnd w:id="55"/>
          <w:r>
            <w:rPr>
              <w:rFonts w:ascii="Times New Roman"/>
              <w:color w:val="auto"/>
            </w:rPr>
            <w:t>GB/T 18354界定的以及下列术语和定义适用于本文件。</w:t>
          </w:r>
        </w:p>
      </w:sdtContent>
    </w:sdt>
    <w:p>
      <w:pPr>
        <w:pStyle w:val="228"/>
        <w:rPr>
          <w:rFonts w:ascii="黑体" w:hAnsi="黑体" w:eastAsia="黑体"/>
          <w:color w:val="auto"/>
        </w:rPr>
      </w:pPr>
      <w:r>
        <w:rPr>
          <w:rFonts w:ascii="黑体" w:hAnsi="黑体" w:eastAsia="黑体"/>
          <w:color w:val="auto"/>
        </w:rPr>
        <w:br w:type="textWrapping"/>
      </w:r>
      <w:r>
        <w:rPr>
          <w:rFonts w:hint="eastAsia" w:ascii="黑体" w:hAnsi="黑体" w:eastAsia="黑体"/>
          <w:color w:val="auto"/>
        </w:rPr>
        <w:t xml:space="preserve"> </w:t>
      </w:r>
      <w:r>
        <w:rPr>
          <w:rFonts w:ascii="黑体" w:hAnsi="黑体" w:eastAsia="黑体"/>
          <w:color w:val="auto"/>
        </w:rPr>
        <w:t xml:space="preserve">   </w:t>
      </w:r>
      <w:r>
        <w:rPr>
          <w:rFonts w:hint="eastAsia" w:ascii="黑体" w:hAnsi="黑体" w:eastAsia="黑体"/>
          <w:color w:val="auto"/>
        </w:rPr>
        <w:t>物流园区 logistics park</w:t>
      </w:r>
    </w:p>
    <w:p>
      <w:pPr>
        <w:pStyle w:val="61"/>
        <w:ind w:firstLine="420"/>
        <w:rPr>
          <w:color w:val="auto"/>
        </w:rPr>
      </w:pPr>
      <w:r>
        <w:rPr>
          <w:rFonts w:hint="eastAsia"/>
          <w:color w:val="auto"/>
        </w:rPr>
        <w:t>由政府规划并由统一主体管理，为众多企业在此设立配送中心或区域配送中心等，提供专业化物流基础设施和公共服务的物流产业集聚区。</w:t>
      </w:r>
    </w:p>
    <w:p>
      <w:pPr>
        <w:pStyle w:val="61"/>
        <w:ind w:firstLine="420"/>
        <w:rPr>
          <w:color w:val="auto"/>
        </w:rPr>
      </w:pPr>
      <w:r>
        <w:rPr>
          <w:rFonts w:hint="eastAsia"/>
          <w:color w:val="auto"/>
        </w:rPr>
        <w:t>[来源：GB/T 18354-2021，3.16]</w:t>
      </w:r>
    </w:p>
    <w:p>
      <w:pPr>
        <w:pStyle w:val="228"/>
        <w:rPr>
          <w:rFonts w:ascii="黑体" w:hAnsi="黑体" w:eastAsia="黑体"/>
          <w:color w:val="auto"/>
        </w:rPr>
      </w:pPr>
      <w:r>
        <w:rPr>
          <w:rFonts w:ascii="黑体" w:hAnsi="黑体" w:eastAsia="黑体"/>
          <w:color w:val="auto"/>
        </w:rPr>
        <w:br w:type="textWrapping"/>
      </w:r>
      <w:r>
        <w:rPr>
          <w:rFonts w:hint="eastAsia" w:ascii="黑体" w:hAnsi="黑体" w:eastAsia="黑体"/>
          <w:color w:val="auto"/>
        </w:rPr>
        <w:t xml:space="preserve"> </w:t>
      </w:r>
      <w:r>
        <w:rPr>
          <w:rFonts w:ascii="黑体" w:hAnsi="黑体" w:eastAsia="黑体"/>
          <w:color w:val="auto"/>
        </w:rPr>
        <w:t xml:space="preserve">   </w:t>
      </w:r>
      <w:r>
        <w:rPr>
          <w:rFonts w:hint="eastAsia" w:ascii="黑体" w:hAnsi="黑体" w:eastAsia="黑体"/>
          <w:color w:val="auto"/>
        </w:rPr>
        <w:t>物流园区数字化 logistics park digitalization</w:t>
      </w:r>
    </w:p>
    <w:p>
      <w:pPr>
        <w:pStyle w:val="61"/>
        <w:ind w:firstLine="420"/>
        <w:rPr>
          <w:color w:val="auto"/>
        </w:rPr>
      </w:pPr>
      <w:r>
        <w:rPr>
          <w:rFonts w:hint="eastAsia"/>
          <w:color w:val="auto"/>
        </w:rPr>
        <w:t>基于互联网、物联网、大数据、云计算、边缘计算等新一代信息技术,以数字平台为载体对物流园区进行统一规划、建设和集中管理的过程。</w:t>
      </w:r>
    </w:p>
    <w:p>
      <w:pPr>
        <w:pStyle w:val="109"/>
        <w:spacing w:before="312" w:after="312"/>
        <w:rPr>
          <w:color w:val="auto"/>
        </w:rPr>
      </w:pPr>
      <w:bookmarkStart w:id="56" w:name="_Toc93145583"/>
      <w:bookmarkStart w:id="57" w:name="_Toc93173128"/>
      <w:bookmarkStart w:id="58" w:name="_Toc151721682"/>
      <w:r>
        <w:rPr>
          <w:rFonts w:hint="eastAsia"/>
          <w:color w:val="auto"/>
        </w:rPr>
        <w:t>物流园区数字化</w:t>
      </w:r>
      <w:bookmarkEnd w:id="56"/>
      <w:bookmarkEnd w:id="57"/>
      <w:r>
        <w:rPr>
          <w:rFonts w:hint="eastAsia"/>
          <w:color w:val="auto"/>
        </w:rPr>
        <w:t>一般要求</w:t>
      </w:r>
      <w:bookmarkEnd w:id="58"/>
    </w:p>
    <w:p>
      <w:pPr>
        <w:pStyle w:val="167"/>
        <w:rPr>
          <w:color w:val="auto"/>
        </w:rPr>
      </w:pPr>
      <w:bookmarkStart w:id="59" w:name="_Hlk148039554"/>
      <w:r>
        <w:rPr>
          <w:rFonts w:hint="eastAsia"/>
          <w:color w:val="auto"/>
        </w:rPr>
        <w:t>应满足物流园区各要素、各功能模块的数字化需求。</w:t>
      </w:r>
    </w:p>
    <w:p>
      <w:pPr>
        <w:pStyle w:val="167"/>
        <w:rPr>
          <w:color w:val="auto"/>
        </w:rPr>
      </w:pPr>
      <w:r>
        <w:rPr>
          <w:rFonts w:hint="eastAsia"/>
          <w:color w:val="auto"/>
        </w:rPr>
        <w:t>应具备获取、传输和处理物流园区各类终端实时数据的能力。</w:t>
      </w:r>
    </w:p>
    <w:bookmarkEnd w:id="59"/>
    <w:p>
      <w:pPr>
        <w:pStyle w:val="167"/>
        <w:rPr>
          <w:color w:val="auto"/>
        </w:rPr>
      </w:pPr>
      <w:r>
        <w:rPr>
          <w:rFonts w:hint="eastAsia"/>
          <w:color w:val="auto"/>
        </w:rPr>
        <w:t>应通过建立物流园区数字化管理平台，对物流园区数字化要素统一管理</w:t>
      </w:r>
      <w:r>
        <w:rPr>
          <w:rFonts w:hint="eastAsia"/>
          <w:color w:val="auto"/>
        </w:rPr>
        <w:t>。</w:t>
      </w:r>
    </w:p>
    <w:p>
      <w:pPr>
        <w:pStyle w:val="109"/>
        <w:spacing w:before="312" w:after="312"/>
        <w:rPr>
          <w:color w:val="auto"/>
        </w:rPr>
      </w:pPr>
      <w:bookmarkStart w:id="60" w:name="_Toc151721683"/>
      <w:r>
        <w:rPr>
          <w:rFonts w:hint="eastAsia"/>
          <w:color w:val="auto"/>
        </w:rPr>
        <w:t>物流园区数字化要素框架</w:t>
      </w:r>
      <w:bookmarkEnd w:id="60"/>
    </w:p>
    <w:p>
      <w:pPr>
        <w:pStyle w:val="110"/>
        <w:spacing w:before="156" w:after="156"/>
        <w:rPr>
          <w:color w:val="auto"/>
        </w:rPr>
      </w:pPr>
      <w:bookmarkStart w:id="61" w:name="_Toc151721684"/>
      <w:r>
        <w:rPr>
          <w:rFonts w:hint="eastAsia"/>
          <w:color w:val="auto"/>
        </w:rPr>
        <w:t>框架</w:t>
      </w:r>
      <w:bookmarkEnd w:id="61"/>
    </w:p>
    <w:p>
      <w:pPr>
        <w:pStyle w:val="167"/>
        <w:numPr>
          <w:ilvl w:val="0"/>
          <w:numId w:val="0"/>
        </w:numPr>
        <w:ind w:firstLine="420" w:firstLineChars="200"/>
        <w:rPr>
          <w:color w:val="auto"/>
        </w:rPr>
      </w:pPr>
      <w:r>
        <w:rPr>
          <w:rFonts w:hint="eastAsia"/>
          <w:color w:val="auto"/>
        </w:rPr>
        <w:t>物流园区数字化要素框架见图1。</w:t>
      </w:r>
    </w:p>
    <w:p>
      <w:pPr>
        <w:pStyle w:val="61"/>
        <w:ind w:firstLine="0" w:firstLineChars="0"/>
        <w:rPr>
          <w:color w:val="auto"/>
        </w:rPr>
      </w:pPr>
      <w:r>
        <w:rPr>
          <w:color w:val="auto"/>
        </w:rPr>
        <w:object>
          <v:shape id="_x0000_i1025" o:spt="75" type="#_x0000_t75" style="height:288.5pt;width:454pt;" o:ole="t" filled="f" o:preferrelative="t" stroked="f" coordsize="21600,21600">
            <v:path/>
            <v:fill on="f" focussize="0,0"/>
            <v:stroke on="f" joinstyle="miter"/>
            <v:imagedata r:id="rId16" o:title=""/>
            <o:lock v:ext="edit" aspectratio="t"/>
            <w10:wrap type="none"/>
            <w10:anchorlock/>
          </v:shape>
          <o:OLEObject Type="Embed" ProgID="Visio.Drawing.15" ShapeID="_x0000_i1025" DrawAspect="Content" ObjectID="_1468075725" r:id="rId15">
            <o:LockedField>false</o:LockedField>
          </o:OLEObject>
        </w:object>
      </w:r>
    </w:p>
    <w:p>
      <w:pPr>
        <w:spacing w:line="360" w:lineRule="auto"/>
        <w:jc w:val="center"/>
        <w:rPr>
          <w:rFonts w:ascii="黑体" w:hAnsi="黑体" w:eastAsia="黑体"/>
          <w:color w:val="auto"/>
          <w:sz w:val="18"/>
          <w:szCs w:val="18"/>
        </w:rPr>
      </w:pPr>
      <w:r>
        <w:rPr>
          <w:rFonts w:hint="eastAsia" w:ascii="黑体" w:hAnsi="黑体" w:eastAsia="黑体"/>
          <w:color w:val="auto"/>
          <w:sz w:val="18"/>
          <w:szCs w:val="18"/>
        </w:rPr>
        <w:t>图1</w:t>
      </w:r>
      <w:r>
        <w:rPr>
          <w:rFonts w:ascii="黑体" w:hAnsi="黑体" w:eastAsia="黑体"/>
          <w:color w:val="auto"/>
          <w:sz w:val="18"/>
          <w:szCs w:val="18"/>
        </w:rPr>
        <w:t xml:space="preserve"> </w:t>
      </w:r>
      <w:r>
        <w:rPr>
          <w:rFonts w:hint="eastAsia" w:ascii="黑体" w:hAnsi="黑体" w:eastAsia="黑体"/>
          <w:color w:val="auto"/>
          <w:sz w:val="18"/>
          <w:szCs w:val="18"/>
        </w:rPr>
        <w:t>物流园区数字化要素框架图</w:t>
      </w:r>
    </w:p>
    <w:p>
      <w:pPr>
        <w:pStyle w:val="110"/>
        <w:spacing w:before="156" w:after="156"/>
        <w:rPr>
          <w:color w:val="auto"/>
        </w:rPr>
      </w:pPr>
      <w:bookmarkStart w:id="62" w:name="_Toc151721685"/>
      <w:bookmarkStart w:id="63" w:name="_Toc93145585"/>
      <w:bookmarkStart w:id="64" w:name="_Toc93173130"/>
      <w:r>
        <w:rPr>
          <w:rFonts w:hint="eastAsia"/>
          <w:color w:val="auto"/>
        </w:rPr>
        <w:t>物流园区数字化要素</w:t>
      </w:r>
      <w:bookmarkEnd w:id="62"/>
    </w:p>
    <w:p>
      <w:pPr>
        <w:pStyle w:val="229"/>
        <w:rPr>
          <w:color w:val="auto"/>
        </w:rPr>
      </w:pPr>
      <w:r>
        <w:rPr>
          <w:rFonts w:hint="eastAsia"/>
          <w:color w:val="auto"/>
        </w:rPr>
        <w:t>物流园区数字化要素包括物流园区要素、管理活动要素和数字化环节要素。</w:t>
      </w:r>
    </w:p>
    <w:p>
      <w:pPr>
        <w:pStyle w:val="229"/>
        <w:rPr>
          <w:color w:val="auto"/>
        </w:rPr>
      </w:pPr>
      <w:bookmarkStart w:id="65" w:name="_Hlk150417748"/>
      <w:r>
        <w:rPr>
          <w:rFonts w:hint="eastAsia"/>
          <w:color w:val="auto"/>
        </w:rPr>
        <w:t>数字化环节要素覆盖物流园区要素和管理活动要素的全过程</w:t>
      </w:r>
      <w:bookmarkEnd w:id="65"/>
      <w:r>
        <w:rPr>
          <w:rFonts w:hint="eastAsia"/>
          <w:color w:val="auto"/>
        </w:rPr>
        <w:t>。</w:t>
      </w:r>
    </w:p>
    <w:p>
      <w:pPr>
        <w:pStyle w:val="110"/>
        <w:spacing w:before="156" w:after="156"/>
        <w:rPr>
          <w:color w:val="auto"/>
        </w:rPr>
      </w:pPr>
      <w:bookmarkStart w:id="66" w:name="_Toc151721686"/>
      <w:r>
        <w:rPr>
          <w:rFonts w:hint="eastAsia"/>
          <w:color w:val="auto"/>
        </w:rPr>
        <w:t>物流园区要素</w:t>
      </w:r>
      <w:bookmarkEnd w:id="66"/>
    </w:p>
    <w:p>
      <w:pPr>
        <w:pStyle w:val="229"/>
        <w:rPr>
          <w:color w:val="auto"/>
        </w:rPr>
      </w:pPr>
      <w:r>
        <w:rPr>
          <w:rFonts w:hint="eastAsia"/>
          <w:color w:val="auto"/>
        </w:rPr>
        <w:t>物流园区要素包括</w:t>
      </w:r>
      <w:bookmarkStart w:id="67" w:name="_Hlk150417585"/>
      <w:r>
        <w:rPr>
          <w:rFonts w:hint="eastAsia"/>
          <w:color w:val="auto"/>
        </w:rPr>
        <w:t>人员、载具、货物、场地、道路、环境等</w:t>
      </w:r>
      <w:bookmarkEnd w:id="67"/>
      <w:r>
        <w:rPr>
          <w:rFonts w:hint="eastAsia"/>
          <w:color w:val="auto"/>
        </w:rPr>
        <w:t>。</w:t>
      </w:r>
    </w:p>
    <w:p>
      <w:pPr>
        <w:pStyle w:val="229"/>
        <w:rPr>
          <w:color w:val="auto"/>
        </w:rPr>
      </w:pPr>
      <w:r>
        <w:rPr>
          <w:rFonts w:hint="eastAsia"/>
          <w:color w:val="auto"/>
        </w:rPr>
        <w:t>物流园区要素应采集静态、动态信息。</w:t>
      </w:r>
    </w:p>
    <w:p>
      <w:pPr>
        <w:pStyle w:val="229"/>
        <w:rPr>
          <w:color w:val="auto"/>
        </w:rPr>
      </w:pPr>
      <w:r>
        <w:rPr>
          <w:rFonts w:hint="eastAsia"/>
          <w:color w:val="auto"/>
        </w:rPr>
        <w:t>物流园区中的人员、载具要素还应采集外部、内部信息。</w:t>
      </w:r>
    </w:p>
    <w:p>
      <w:pPr>
        <w:pStyle w:val="110"/>
        <w:spacing w:before="156" w:after="156"/>
        <w:rPr>
          <w:color w:val="auto"/>
        </w:rPr>
      </w:pPr>
      <w:bookmarkStart w:id="68" w:name="_Toc151721687"/>
      <w:r>
        <w:rPr>
          <w:rFonts w:hint="eastAsia"/>
          <w:color w:val="auto"/>
        </w:rPr>
        <w:t>管理活动要素</w:t>
      </w:r>
      <w:bookmarkEnd w:id="68"/>
    </w:p>
    <w:p>
      <w:pPr>
        <w:pStyle w:val="229"/>
        <w:rPr>
          <w:color w:val="auto"/>
        </w:rPr>
      </w:pPr>
      <w:r>
        <w:rPr>
          <w:rFonts w:hint="eastAsia"/>
          <w:color w:val="auto"/>
        </w:rPr>
        <w:t>管理活动要素包括</w:t>
      </w:r>
      <w:bookmarkStart w:id="69" w:name="_Hlk150417598"/>
      <w:r>
        <w:rPr>
          <w:rFonts w:hint="eastAsia"/>
          <w:color w:val="auto"/>
        </w:rPr>
        <w:t>接口管理、通行管理、调度管理、资产管理、能源管理、安全管理、碳管理和数据管理等</w:t>
      </w:r>
      <w:bookmarkEnd w:id="69"/>
      <w:r>
        <w:rPr>
          <w:rFonts w:hint="eastAsia"/>
          <w:color w:val="auto"/>
        </w:rPr>
        <w:t>。</w:t>
      </w:r>
    </w:p>
    <w:p>
      <w:pPr>
        <w:pStyle w:val="110"/>
        <w:spacing w:before="156" w:after="156"/>
        <w:rPr>
          <w:color w:val="auto"/>
        </w:rPr>
      </w:pPr>
      <w:bookmarkStart w:id="70" w:name="_Toc151721688"/>
      <w:r>
        <w:rPr>
          <w:rFonts w:hint="eastAsia"/>
          <w:color w:val="auto"/>
        </w:rPr>
        <w:t>数字化环节要素</w:t>
      </w:r>
      <w:bookmarkEnd w:id="70"/>
    </w:p>
    <w:p>
      <w:pPr>
        <w:pStyle w:val="229"/>
        <w:rPr>
          <w:color w:val="auto"/>
        </w:rPr>
      </w:pPr>
      <w:r>
        <w:rPr>
          <w:rFonts w:hint="eastAsia"/>
          <w:color w:val="auto"/>
        </w:rPr>
        <w:t>数字化环节要素包括采集、编码、建模、分析、转化、导入等。</w:t>
      </w:r>
    </w:p>
    <w:p>
      <w:pPr>
        <w:pStyle w:val="229"/>
        <w:rPr>
          <w:color w:val="auto"/>
        </w:rPr>
      </w:pPr>
      <w:bookmarkStart w:id="71" w:name="_Hlk150417794"/>
      <w:bookmarkStart w:id="72" w:name="_Hlk150417843"/>
      <w:r>
        <w:rPr>
          <w:rFonts w:hint="eastAsia"/>
          <w:color w:val="auto"/>
        </w:rPr>
        <w:t>数字化环节</w:t>
      </w:r>
      <w:bookmarkEnd w:id="71"/>
      <w:r>
        <w:rPr>
          <w:rFonts w:hint="eastAsia"/>
          <w:color w:val="auto"/>
        </w:rPr>
        <w:t>应实现采集数据时快速且及时，采集到的数据真实、准确、完整，便于审核、检查和维护。</w:t>
      </w:r>
    </w:p>
    <w:p>
      <w:pPr>
        <w:pStyle w:val="229"/>
        <w:rPr>
          <w:color w:val="auto"/>
        </w:rPr>
      </w:pPr>
      <w:r>
        <w:rPr>
          <w:rFonts w:hint="eastAsia"/>
          <w:color w:val="auto"/>
        </w:rPr>
        <w:t>数字化环节应实现数据编码实用且高效，编码具有扩充性、节省存储空间，便于计算机识别和进行信息分类、校核、合计、检索等操作。</w:t>
      </w:r>
    </w:p>
    <w:p>
      <w:pPr>
        <w:pStyle w:val="229"/>
        <w:rPr>
          <w:color w:val="auto"/>
        </w:rPr>
      </w:pPr>
      <w:r>
        <w:rPr>
          <w:rFonts w:hint="eastAsia"/>
          <w:color w:val="auto"/>
        </w:rPr>
        <w:t>数字化环节应实现数据建模准确且简洁，能定义数据、定义操作过程、选择数据存储技术、确定数据及其相关的过程等，并确保数据的完整性。</w:t>
      </w:r>
    </w:p>
    <w:p>
      <w:pPr>
        <w:pStyle w:val="229"/>
        <w:rPr>
          <w:color w:val="auto"/>
        </w:rPr>
      </w:pPr>
      <w:r>
        <w:rPr>
          <w:rFonts w:hint="eastAsia"/>
          <w:color w:val="auto"/>
        </w:rPr>
        <w:t>数字化环节应实现数据分析便捷且深入，可在已经获取的数据流或信息流中，寻找匹配关键词或关键短语，发掘同一事件的不同证据间的联系，挖掘数据或信息间的相关关系或因果关系。</w:t>
      </w:r>
    </w:p>
    <w:p>
      <w:pPr>
        <w:pStyle w:val="229"/>
        <w:rPr>
          <w:color w:val="auto"/>
        </w:rPr>
      </w:pPr>
      <w:r>
        <w:rPr>
          <w:rFonts w:hint="eastAsia"/>
          <w:color w:val="auto"/>
        </w:rPr>
        <w:t>数字化环节应实现数据转化高效且实用，通过对原始数据的清洗、过滤、整合和变换等方式，实现从不同数据库、系统或异构的不同方式组织的数据之间的转换，以满足某一具体的应用场景和需求，降低数据存取和使用操作成本。</w:t>
      </w:r>
    </w:p>
    <w:p>
      <w:pPr>
        <w:pStyle w:val="229"/>
        <w:rPr>
          <w:color w:val="auto"/>
        </w:rPr>
      </w:pPr>
      <w:r>
        <w:rPr>
          <w:rFonts w:hint="eastAsia"/>
          <w:color w:val="auto"/>
        </w:rPr>
        <w:t>数字化环节应实现数据导入快速且安全，数据导入过程保证数据的准确、完整，并能够对导入的数据进行检查，具备应急响应与追踪溯源的能力。</w:t>
      </w:r>
    </w:p>
    <w:p>
      <w:pPr>
        <w:pStyle w:val="110"/>
        <w:spacing w:before="156" w:after="156"/>
        <w:rPr>
          <w:color w:val="auto"/>
        </w:rPr>
      </w:pPr>
      <w:bookmarkStart w:id="73" w:name="_Toc151721689"/>
      <w:r>
        <w:rPr>
          <w:rFonts w:hint="eastAsia"/>
          <w:color w:val="auto"/>
        </w:rPr>
        <w:t>物流园区数字化管理平台</w:t>
      </w:r>
      <w:bookmarkEnd w:id="73"/>
    </w:p>
    <w:p>
      <w:pPr>
        <w:pStyle w:val="229"/>
        <w:rPr>
          <w:color w:val="auto"/>
        </w:rPr>
      </w:pPr>
      <w:r>
        <w:rPr>
          <w:rFonts w:hint="eastAsia"/>
          <w:color w:val="auto"/>
        </w:rPr>
        <w:t>物流园区数字化管理平台应根据管理活动要素配置对应的管理信息系统。</w:t>
      </w:r>
    </w:p>
    <w:p>
      <w:pPr>
        <w:pStyle w:val="229"/>
        <w:rPr>
          <w:color w:val="auto"/>
        </w:rPr>
      </w:pPr>
      <w:r>
        <w:rPr>
          <w:rFonts w:hint="eastAsia"/>
          <w:color w:val="auto"/>
        </w:rPr>
        <w:t>物流园区数字化管理平台应具有外部接口，可基于外部环境变化进行调整和扩展。</w:t>
      </w:r>
    </w:p>
    <w:bookmarkEnd w:id="72"/>
    <w:p>
      <w:pPr>
        <w:pStyle w:val="109"/>
        <w:spacing w:before="312" w:after="312"/>
        <w:rPr>
          <w:color w:val="auto"/>
        </w:rPr>
      </w:pPr>
      <w:bookmarkStart w:id="74" w:name="_Toc151721690"/>
      <w:r>
        <w:rPr>
          <w:rFonts w:hint="eastAsia"/>
          <w:color w:val="auto"/>
        </w:rPr>
        <w:t>物流园区要素的信息采集</w:t>
      </w:r>
      <w:bookmarkEnd w:id="74"/>
    </w:p>
    <w:p>
      <w:pPr>
        <w:pStyle w:val="110"/>
        <w:spacing w:before="156" w:after="156"/>
        <w:rPr>
          <w:color w:val="auto"/>
        </w:rPr>
      </w:pPr>
      <w:bookmarkStart w:id="75" w:name="_Toc151721691"/>
      <w:r>
        <w:rPr>
          <w:rFonts w:hint="eastAsia"/>
          <w:color w:val="auto"/>
        </w:rPr>
        <w:t>人员要素</w:t>
      </w:r>
      <w:bookmarkEnd w:id="75"/>
    </w:p>
    <w:p>
      <w:pPr>
        <w:pStyle w:val="61"/>
        <w:ind w:firstLine="420"/>
        <w:rPr>
          <w:color w:val="auto"/>
        </w:rPr>
      </w:pPr>
      <w:r>
        <w:rPr>
          <w:rFonts w:hint="eastAsia"/>
          <w:color w:val="auto"/>
        </w:rPr>
        <w:t>按照园区的实际要求，应采集园区内部人员和外部人员的静态和动态信息，具体见表1。</w:t>
      </w:r>
    </w:p>
    <w:p>
      <w:pPr>
        <w:spacing w:line="360" w:lineRule="auto"/>
        <w:jc w:val="center"/>
        <w:rPr>
          <w:rFonts w:ascii="黑体" w:hAnsi="黑体" w:eastAsia="黑体"/>
          <w:color w:val="auto"/>
          <w:sz w:val="21"/>
          <w:szCs w:val="21"/>
        </w:rPr>
      </w:pPr>
      <w:r>
        <w:rPr>
          <w:rFonts w:hint="eastAsia" w:ascii="黑体" w:hAnsi="黑体" w:eastAsia="黑体"/>
          <w:color w:val="auto"/>
          <w:sz w:val="21"/>
          <w:szCs w:val="21"/>
        </w:rPr>
        <w:t>表1</w:t>
      </w:r>
      <w:r>
        <w:rPr>
          <w:rFonts w:ascii="黑体" w:hAnsi="黑体" w:eastAsia="黑体"/>
          <w:color w:val="auto"/>
          <w:sz w:val="21"/>
          <w:szCs w:val="21"/>
        </w:rPr>
        <w:t xml:space="preserve"> </w:t>
      </w:r>
      <w:r>
        <w:rPr>
          <w:rFonts w:hint="eastAsia" w:ascii="黑体" w:hAnsi="黑体" w:eastAsia="黑体"/>
          <w:color w:val="auto"/>
          <w:sz w:val="21"/>
          <w:szCs w:val="21"/>
        </w:rPr>
        <w:t>人员要素</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1403"/>
        <w:gridCol w:w="1149"/>
        <w:gridCol w:w="5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988" w:type="dxa"/>
            <w:vMerge w:val="restart"/>
            <w:vAlign w:val="center"/>
          </w:tcPr>
          <w:p>
            <w:pPr>
              <w:pStyle w:val="61"/>
              <w:ind w:firstLine="0" w:firstLineChars="0"/>
              <w:jc w:val="center"/>
              <w:rPr>
                <w:color w:val="auto"/>
                <w:sz w:val="18"/>
                <w:szCs w:val="18"/>
              </w:rPr>
            </w:pPr>
            <w:r>
              <w:rPr>
                <w:rFonts w:hint="eastAsia"/>
                <w:color w:val="auto"/>
                <w:sz w:val="18"/>
                <w:szCs w:val="18"/>
              </w:rPr>
              <w:t>内部人员</w:t>
            </w:r>
          </w:p>
        </w:tc>
        <w:tc>
          <w:tcPr>
            <w:tcW w:w="1403" w:type="dxa"/>
            <w:vAlign w:val="center"/>
          </w:tcPr>
          <w:p>
            <w:pPr>
              <w:pStyle w:val="61"/>
              <w:ind w:firstLine="0" w:firstLineChars="0"/>
              <w:jc w:val="center"/>
              <w:rPr>
                <w:color w:val="auto"/>
                <w:sz w:val="18"/>
                <w:szCs w:val="18"/>
              </w:rPr>
            </w:pPr>
            <w:r>
              <w:rPr>
                <w:rFonts w:hint="eastAsia"/>
                <w:color w:val="auto"/>
                <w:sz w:val="18"/>
                <w:szCs w:val="18"/>
              </w:rPr>
              <w:t>园区经营人员</w:t>
            </w:r>
          </w:p>
        </w:tc>
        <w:tc>
          <w:tcPr>
            <w:tcW w:w="1149" w:type="dxa"/>
            <w:vAlign w:val="center"/>
          </w:tcPr>
          <w:p>
            <w:pPr>
              <w:pStyle w:val="61"/>
              <w:ind w:firstLine="0" w:firstLineChars="0"/>
              <w:jc w:val="center"/>
              <w:rPr>
                <w:color w:val="auto"/>
                <w:sz w:val="18"/>
                <w:szCs w:val="18"/>
              </w:rPr>
            </w:pPr>
            <w:r>
              <w:rPr>
                <w:rFonts w:hint="eastAsia"/>
                <w:color w:val="auto"/>
                <w:sz w:val="18"/>
                <w:szCs w:val="18"/>
              </w:rPr>
              <w:t>静态信息</w:t>
            </w:r>
          </w:p>
        </w:tc>
        <w:tc>
          <w:tcPr>
            <w:tcW w:w="5804" w:type="dxa"/>
            <w:vAlign w:val="center"/>
          </w:tcPr>
          <w:p>
            <w:pPr>
              <w:pStyle w:val="61"/>
              <w:ind w:firstLine="0" w:firstLineChars="0"/>
              <w:jc w:val="left"/>
              <w:rPr>
                <w:color w:val="auto"/>
                <w:sz w:val="18"/>
                <w:szCs w:val="18"/>
                <w:highlight w:val="yellow"/>
              </w:rPr>
            </w:pPr>
            <w:r>
              <w:rPr>
                <w:rFonts w:hint="eastAsia"/>
                <w:color w:val="auto"/>
                <w:sz w:val="18"/>
                <w:szCs w:val="18"/>
              </w:rPr>
              <w:t>姓名、身份证号、联系方式、紧急联系人姓名、紧急联系人电话信息、身份识别生物信息（如指纹、面部信息）、职位名称、所属部门、职责范围、责任领导和个人档案（如个人履历、所受培训记录、职责内的考核评价历史记录和当前考核结果）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988" w:type="dxa"/>
            <w:vMerge w:val="continue"/>
            <w:vAlign w:val="center"/>
          </w:tcPr>
          <w:p>
            <w:pPr>
              <w:pStyle w:val="61"/>
              <w:ind w:firstLine="360"/>
              <w:jc w:val="center"/>
              <w:rPr>
                <w:color w:val="auto"/>
                <w:sz w:val="18"/>
                <w:szCs w:val="18"/>
              </w:rPr>
            </w:pPr>
          </w:p>
        </w:tc>
        <w:tc>
          <w:tcPr>
            <w:tcW w:w="1403" w:type="dxa"/>
            <w:vAlign w:val="center"/>
          </w:tcPr>
          <w:p>
            <w:pPr>
              <w:pStyle w:val="61"/>
              <w:ind w:firstLine="0" w:firstLineChars="0"/>
              <w:jc w:val="center"/>
              <w:rPr>
                <w:color w:val="auto"/>
                <w:sz w:val="18"/>
                <w:szCs w:val="18"/>
              </w:rPr>
            </w:pPr>
            <w:r>
              <w:rPr>
                <w:rFonts w:hint="eastAsia"/>
                <w:color w:val="auto"/>
                <w:sz w:val="18"/>
                <w:szCs w:val="18"/>
              </w:rPr>
              <w:t>园区经营人员</w:t>
            </w:r>
          </w:p>
        </w:tc>
        <w:tc>
          <w:tcPr>
            <w:tcW w:w="1149" w:type="dxa"/>
            <w:vAlign w:val="center"/>
          </w:tcPr>
          <w:p>
            <w:pPr>
              <w:pStyle w:val="61"/>
              <w:ind w:firstLine="0" w:firstLineChars="0"/>
              <w:jc w:val="center"/>
              <w:rPr>
                <w:color w:val="auto"/>
                <w:sz w:val="18"/>
                <w:szCs w:val="18"/>
              </w:rPr>
            </w:pPr>
            <w:r>
              <w:rPr>
                <w:rFonts w:hint="eastAsia"/>
                <w:color w:val="auto"/>
                <w:sz w:val="18"/>
                <w:szCs w:val="18"/>
              </w:rPr>
              <w:t>动态信息</w:t>
            </w:r>
          </w:p>
        </w:tc>
        <w:tc>
          <w:tcPr>
            <w:tcW w:w="5804" w:type="dxa"/>
            <w:vAlign w:val="center"/>
          </w:tcPr>
          <w:p>
            <w:pPr>
              <w:pStyle w:val="61"/>
              <w:ind w:firstLine="0" w:firstLineChars="0"/>
              <w:jc w:val="left"/>
              <w:rPr>
                <w:color w:val="auto"/>
                <w:sz w:val="18"/>
                <w:szCs w:val="18"/>
                <w:highlight w:val="yellow"/>
              </w:rPr>
            </w:pPr>
            <w:r>
              <w:rPr>
                <w:rFonts w:hint="eastAsia"/>
                <w:color w:val="auto"/>
                <w:sz w:val="18"/>
                <w:szCs w:val="18"/>
              </w:rPr>
              <w:t>通行时间、通行权限、经营操作、客户服务、仓库安全和环境管理以及人员培训和管理等信息。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988" w:type="dxa"/>
            <w:vMerge w:val="continue"/>
            <w:vAlign w:val="center"/>
          </w:tcPr>
          <w:p>
            <w:pPr>
              <w:pStyle w:val="61"/>
              <w:ind w:firstLine="0" w:firstLineChars="0"/>
              <w:jc w:val="center"/>
              <w:rPr>
                <w:color w:val="auto"/>
                <w:sz w:val="18"/>
                <w:szCs w:val="18"/>
              </w:rPr>
            </w:pPr>
          </w:p>
        </w:tc>
        <w:tc>
          <w:tcPr>
            <w:tcW w:w="1403" w:type="dxa"/>
          </w:tcPr>
          <w:p>
            <w:pPr>
              <w:pStyle w:val="61"/>
              <w:ind w:firstLine="0" w:firstLineChars="0"/>
              <w:jc w:val="center"/>
              <w:rPr>
                <w:color w:val="auto"/>
                <w:sz w:val="18"/>
                <w:szCs w:val="18"/>
              </w:rPr>
            </w:pPr>
            <w:r>
              <w:rPr>
                <w:rFonts w:hint="eastAsia"/>
                <w:color w:val="auto"/>
                <w:sz w:val="18"/>
                <w:szCs w:val="18"/>
              </w:rPr>
              <w:t>入驻园区企业的工作人员</w:t>
            </w:r>
          </w:p>
        </w:tc>
        <w:tc>
          <w:tcPr>
            <w:tcW w:w="1149" w:type="dxa"/>
            <w:vAlign w:val="center"/>
          </w:tcPr>
          <w:p>
            <w:pPr>
              <w:pStyle w:val="61"/>
              <w:ind w:firstLine="0" w:firstLineChars="0"/>
              <w:jc w:val="center"/>
              <w:rPr>
                <w:color w:val="auto"/>
                <w:sz w:val="18"/>
                <w:szCs w:val="18"/>
              </w:rPr>
            </w:pPr>
            <w:r>
              <w:rPr>
                <w:rFonts w:hint="eastAsia"/>
                <w:color w:val="auto"/>
                <w:sz w:val="18"/>
                <w:szCs w:val="18"/>
              </w:rPr>
              <w:t>静态信息</w:t>
            </w:r>
          </w:p>
        </w:tc>
        <w:tc>
          <w:tcPr>
            <w:tcW w:w="5804" w:type="dxa"/>
            <w:vAlign w:val="center"/>
          </w:tcPr>
          <w:p>
            <w:pPr>
              <w:pStyle w:val="61"/>
              <w:ind w:firstLine="0" w:firstLineChars="0"/>
              <w:jc w:val="left"/>
              <w:rPr>
                <w:color w:val="auto"/>
                <w:sz w:val="18"/>
                <w:szCs w:val="18"/>
              </w:rPr>
            </w:pPr>
            <w:r>
              <w:rPr>
                <w:rFonts w:hint="eastAsia"/>
                <w:color w:val="auto"/>
                <w:sz w:val="18"/>
                <w:szCs w:val="18"/>
              </w:rPr>
              <w:t>姓名、工号、身份证号、联系方式、紧急联系人、生物识别信息（指纹识别、面部识别）、职位名称、所属部门、职责权限、责任领导等信息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988" w:type="dxa"/>
            <w:vMerge w:val="continue"/>
            <w:vAlign w:val="center"/>
          </w:tcPr>
          <w:p>
            <w:pPr>
              <w:pStyle w:val="61"/>
              <w:ind w:firstLine="0" w:firstLineChars="0"/>
              <w:jc w:val="center"/>
              <w:rPr>
                <w:color w:val="auto"/>
                <w:sz w:val="18"/>
                <w:szCs w:val="18"/>
              </w:rPr>
            </w:pPr>
          </w:p>
        </w:tc>
        <w:tc>
          <w:tcPr>
            <w:tcW w:w="1403" w:type="dxa"/>
          </w:tcPr>
          <w:p>
            <w:pPr>
              <w:pStyle w:val="61"/>
              <w:ind w:firstLine="0" w:firstLineChars="0"/>
              <w:jc w:val="center"/>
              <w:rPr>
                <w:color w:val="auto"/>
                <w:sz w:val="18"/>
                <w:szCs w:val="18"/>
              </w:rPr>
            </w:pPr>
            <w:r>
              <w:rPr>
                <w:rFonts w:hint="eastAsia"/>
                <w:color w:val="auto"/>
                <w:sz w:val="18"/>
                <w:szCs w:val="18"/>
              </w:rPr>
              <w:t>入驻园区企业的工作人员</w:t>
            </w:r>
          </w:p>
        </w:tc>
        <w:tc>
          <w:tcPr>
            <w:tcW w:w="1149" w:type="dxa"/>
            <w:vAlign w:val="center"/>
          </w:tcPr>
          <w:p>
            <w:pPr>
              <w:pStyle w:val="61"/>
              <w:ind w:firstLine="0" w:firstLineChars="0"/>
              <w:jc w:val="center"/>
              <w:rPr>
                <w:color w:val="auto"/>
                <w:sz w:val="18"/>
                <w:szCs w:val="18"/>
              </w:rPr>
            </w:pPr>
            <w:r>
              <w:rPr>
                <w:rFonts w:hint="eastAsia"/>
                <w:color w:val="auto"/>
                <w:sz w:val="18"/>
                <w:szCs w:val="18"/>
              </w:rPr>
              <w:t>动态信息</w:t>
            </w:r>
          </w:p>
        </w:tc>
        <w:tc>
          <w:tcPr>
            <w:tcW w:w="5804" w:type="dxa"/>
            <w:vAlign w:val="center"/>
          </w:tcPr>
          <w:p>
            <w:pPr>
              <w:pStyle w:val="61"/>
              <w:ind w:firstLine="0" w:firstLineChars="0"/>
              <w:jc w:val="left"/>
              <w:rPr>
                <w:color w:val="auto"/>
                <w:sz w:val="18"/>
                <w:szCs w:val="18"/>
              </w:rPr>
            </w:pPr>
            <w:r>
              <w:rPr>
                <w:rFonts w:hint="eastAsia"/>
                <w:color w:val="auto"/>
                <w:sz w:val="18"/>
                <w:szCs w:val="18"/>
              </w:rPr>
              <w:t>通行时间、通行权限等信息。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1" w:type="dxa"/>
            <w:gridSpan w:val="2"/>
            <w:vMerge w:val="restart"/>
            <w:vAlign w:val="center"/>
          </w:tcPr>
          <w:p>
            <w:pPr>
              <w:pStyle w:val="61"/>
              <w:ind w:firstLine="0" w:firstLineChars="0"/>
              <w:jc w:val="center"/>
              <w:rPr>
                <w:color w:val="auto"/>
                <w:sz w:val="18"/>
                <w:szCs w:val="18"/>
              </w:rPr>
            </w:pPr>
            <w:r>
              <w:rPr>
                <w:rFonts w:hint="eastAsia"/>
                <w:color w:val="auto"/>
                <w:sz w:val="18"/>
                <w:szCs w:val="18"/>
              </w:rPr>
              <w:t>外部人员</w:t>
            </w:r>
          </w:p>
        </w:tc>
        <w:tc>
          <w:tcPr>
            <w:tcW w:w="1149" w:type="dxa"/>
            <w:vAlign w:val="center"/>
          </w:tcPr>
          <w:p>
            <w:pPr>
              <w:pStyle w:val="61"/>
              <w:ind w:firstLine="0" w:firstLineChars="0"/>
              <w:jc w:val="center"/>
              <w:rPr>
                <w:color w:val="auto"/>
                <w:sz w:val="18"/>
                <w:szCs w:val="18"/>
              </w:rPr>
            </w:pPr>
            <w:r>
              <w:rPr>
                <w:rFonts w:hint="eastAsia"/>
                <w:color w:val="auto"/>
                <w:sz w:val="18"/>
                <w:szCs w:val="18"/>
              </w:rPr>
              <w:t>静态信息</w:t>
            </w:r>
          </w:p>
        </w:tc>
        <w:tc>
          <w:tcPr>
            <w:tcW w:w="5804" w:type="dxa"/>
            <w:vAlign w:val="center"/>
          </w:tcPr>
          <w:p>
            <w:pPr>
              <w:pStyle w:val="61"/>
              <w:ind w:firstLine="0" w:firstLineChars="0"/>
              <w:jc w:val="left"/>
              <w:rPr>
                <w:color w:val="auto"/>
                <w:sz w:val="18"/>
                <w:szCs w:val="18"/>
              </w:rPr>
            </w:pPr>
            <w:r>
              <w:rPr>
                <w:rFonts w:hint="eastAsia"/>
                <w:color w:val="auto"/>
                <w:sz w:val="18"/>
                <w:szCs w:val="18"/>
              </w:rPr>
              <w:t>姓名、性别、身份证号、工作单位、手机号码、生物识别（指纹识别、面部识别）等信息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1" w:type="dxa"/>
            <w:gridSpan w:val="2"/>
            <w:vMerge w:val="continue"/>
            <w:vAlign w:val="center"/>
          </w:tcPr>
          <w:p>
            <w:pPr>
              <w:pStyle w:val="61"/>
              <w:ind w:firstLine="0" w:firstLineChars="0"/>
              <w:jc w:val="center"/>
              <w:rPr>
                <w:color w:val="auto"/>
                <w:sz w:val="18"/>
                <w:szCs w:val="18"/>
              </w:rPr>
            </w:pPr>
          </w:p>
        </w:tc>
        <w:tc>
          <w:tcPr>
            <w:tcW w:w="1149" w:type="dxa"/>
            <w:vAlign w:val="center"/>
          </w:tcPr>
          <w:p>
            <w:pPr>
              <w:pStyle w:val="61"/>
              <w:ind w:firstLine="0" w:firstLineChars="0"/>
              <w:jc w:val="center"/>
              <w:rPr>
                <w:color w:val="auto"/>
                <w:sz w:val="18"/>
                <w:szCs w:val="18"/>
              </w:rPr>
            </w:pPr>
            <w:r>
              <w:rPr>
                <w:rFonts w:hint="eastAsia"/>
                <w:color w:val="auto"/>
                <w:sz w:val="18"/>
                <w:szCs w:val="18"/>
              </w:rPr>
              <w:t>动态信息</w:t>
            </w:r>
          </w:p>
        </w:tc>
        <w:tc>
          <w:tcPr>
            <w:tcW w:w="5804" w:type="dxa"/>
            <w:vAlign w:val="center"/>
          </w:tcPr>
          <w:p>
            <w:pPr>
              <w:pStyle w:val="61"/>
              <w:ind w:firstLine="0" w:firstLineChars="0"/>
              <w:jc w:val="left"/>
              <w:rPr>
                <w:color w:val="auto"/>
                <w:sz w:val="18"/>
                <w:szCs w:val="18"/>
              </w:rPr>
            </w:pPr>
            <w:r>
              <w:rPr>
                <w:rFonts w:hint="eastAsia"/>
                <w:color w:val="auto"/>
                <w:sz w:val="18"/>
                <w:szCs w:val="18"/>
              </w:rPr>
              <w:t>入园事由、拜访客户信息、通行时间、通行权限等信息。</w:t>
            </w:r>
          </w:p>
        </w:tc>
      </w:tr>
    </w:tbl>
    <w:p>
      <w:pPr>
        <w:pStyle w:val="110"/>
        <w:spacing w:before="156" w:after="156"/>
        <w:rPr>
          <w:color w:val="auto"/>
        </w:rPr>
      </w:pPr>
      <w:bookmarkStart w:id="76" w:name="_Toc151721692"/>
      <w:r>
        <w:rPr>
          <w:rFonts w:hint="eastAsia"/>
          <w:color w:val="auto"/>
        </w:rPr>
        <w:t>载具要素</w:t>
      </w:r>
      <w:bookmarkEnd w:id="76"/>
    </w:p>
    <w:p>
      <w:pPr>
        <w:pStyle w:val="61"/>
        <w:ind w:firstLine="420"/>
        <w:rPr>
          <w:color w:val="auto"/>
        </w:rPr>
      </w:pPr>
      <w:r>
        <w:rPr>
          <w:rFonts w:hint="eastAsia"/>
          <w:color w:val="auto"/>
        </w:rPr>
        <w:t>按照园区的实际要求，应采集园区内部载具和外部载具的静态和动态信息，具体见表2。</w:t>
      </w:r>
    </w:p>
    <w:p>
      <w:pPr>
        <w:pStyle w:val="61"/>
        <w:ind w:firstLine="360"/>
        <w:rPr>
          <w:color w:val="auto"/>
        </w:rPr>
      </w:pPr>
      <w:r>
        <w:rPr>
          <w:rFonts w:hint="eastAsia" w:ascii="黑体" w:hAnsi="黑体" w:eastAsia="黑体"/>
          <w:color w:val="auto"/>
          <w:sz w:val="18"/>
          <w:szCs w:val="18"/>
        </w:rPr>
        <w:t>注</w:t>
      </w:r>
      <w:r>
        <w:rPr>
          <w:rFonts w:hint="eastAsia"/>
          <w:color w:val="auto"/>
        </w:rPr>
        <w:t>：</w:t>
      </w:r>
      <w:r>
        <w:rPr>
          <w:rFonts w:hint="eastAsia"/>
          <w:color w:val="auto"/>
          <w:sz w:val="18"/>
          <w:szCs w:val="16"/>
        </w:rPr>
        <w:t>本标准中载具主要指车辆，也包括一些园区可能涉及到的轮船、火车、飞机等载具。</w:t>
      </w:r>
    </w:p>
    <w:p>
      <w:pPr>
        <w:spacing w:line="360" w:lineRule="auto"/>
        <w:jc w:val="center"/>
        <w:rPr>
          <w:rFonts w:ascii="黑体" w:hAnsi="黑体" w:eastAsia="黑体"/>
          <w:color w:val="auto"/>
          <w:sz w:val="21"/>
          <w:szCs w:val="21"/>
        </w:rPr>
      </w:pPr>
      <w:r>
        <w:rPr>
          <w:rFonts w:hint="eastAsia" w:ascii="黑体" w:hAnsi="黑体" w:eastAsia="黑体"/>
          <w:color w:val="auto"/>
          <w:sz w:val="21"/>
          <w:szCs w:val="21"/>
        </w:rPr>
        <w:t>表</w:t>
      </w:r>
      <w:r>
        <w:rPr>
          <w:rFonts w:ascii="黑体" w:hAnsi="黑体" w:eastAsia="黑体"/>
          <w:color w:val="auto"/>
          <w:sz w:val="21"/>
          <w:szCs w:val="21"/>
        </w:rPr>
        <w:t xml:space="preserve">2 </w:t>
      </w:r>
      <w:r>
        <w:rPr>
          <w:rFonts w:hint="eastAsia" w:ascii="黑体" w:hAnsi="黑体" w:eastAsia="黑体"/>
          <w:color w:val="auto"/>
          <w:sz w:val="21"/>
          <w:szCs w:val="21"/>
        </w:rPr>
        <w:t>载具要素</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1403"/>
        <w:gridCol w:w="1149"/>
        <w:gridCol w:w="5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restart"/>
          </w:tcPr>
          <w:p>
            <w:pPr>
              <w:pStyle w:val="61"/>
              <w:ind w:firstLine="0" w:firstLineChars="0"/>
              <w:jc w:val="center"/>
              <w:rPr>
                <w:color w:val="auto"/>
                <w:sz w:val="18"/>
                <w:szCs w:val="18"/>
              </w:rPr>
            </w:pPr>
          </w:p>
          <w:p>
            <w:pPr>
              <w:pStyle w:val="61"/>
              <w:ind w:firstLine="0" w:firstLineChars="0"/>
              <w:jc w:val="center"/>
              <w:rPr>
                <w:color w:val="auto"/>
                <w:sz w:val="18"/>
                <w:szCs w:val="18"/>
              </w:rPr>
            </w:pPr>
            <w:r>
              <w:rPr>
                <w:rFonts w:hint="eastAsia"/>
                <w:color w:val="auto"/>
                <w:sz w:val="18"/>
                <w:szCs w:val="18"/>
              </w:rPr>
              <w:t>内部载具</w:t>
            </w:r>
          </w:p>
        </w:tc>
        <w:tc>
          <w:tcPr>
            <w:tcW w:w="1403" w:type="dxa"/>
          </w:tcPr>
          <w:p>
            <w:pPr>
              <w:pStyle w:val="61"/>
              <w:ind w:firstLine="0" w:firstLineChars="0"/>
              <w:jc w:val="center"/>
              <w:rPr>
                <w:color w:val="auto"/>
                <w:sz w:val="18"/>
                <w:szCs w:val="18"/>
              </w:rPr>
            </w:pPr>
            <w:r>
              <w:rPr>
                <w:rFonts w:hint="eastAsia"/>
                <w:color w:val="auto"/>
                <w:sz w:val="18"/>
                <w:szCs w:val="18"/>
              </w:rPr>
              <w:t>园区载具</w:t>
            </w:r>
          </w:p>
        </w:tc>
        <w:tc>
          <w:tcPr>
            <w:tcW w:w="1149" w:type="dxa"/>
          </w:tcPr>
          <w:p>
            <w:pPr>
              <w:pStyle w:val="61"/>
              <w:ind w:firstLine="0" w:firstLineChars="0"/>
              <w:jc w:val="center"/>
              <w:rPr>
                <w:color w:val="auto"/>
                <w:sz w:val="18"/>
                <w:szCs w:val="18"/>
              </w:rPr>
            </w:pPr>
            <w:r>
              <w:rPr>
                <w:rFonts w:hint="eastAsia"/>
                <w:color w:val="auto"/>
                <w:sz w:val="18"/>
                <w:szCs w:val="18"/>
              </w:rPr>
              <w:t>静态信息</w:t>
            </w:r>
          </w:p>
        </w:tc>
        <w:tc>
          <w:tcPr>
            <w:tcW w:w="5804" w:type="dxa"/>
          </w:tcPr>
          <w:p>
            <w:pPr>
              <w:pStyle w:val="61"/>
              <w:ind w:firstLine="0" w:firstLineChars="0"/>
              <w:rPr>
                <w:color w:val="auto"/>
                <w:sz w:val="18"/>
                <w:szCs w:val="18"/>
                <w:highlight w:val="yellow"/>
              </w:rPr>
            </w:pPr>
            <w:r>
              <w:rPr>
                <w:rFonts w:hint="eastAsia"/>
                <w:color w:val="auto"/>
                <w:sz w:val="18"/>
                <w:szCs w:val="18"/>
              </w:rPr>
              <w:t>载具类型和分类、载具号码、载具所有者和驾驶员信息、载具尺寸和负载能力以及载具的购置日期和保养记录等信息。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tcPr>
          <w:p>
            <w:pPr>
              <w:pStyle w:val="61"/>
              <w:ind w:firstLine="360"/>
              <w:jc w:val="center"/>
              <w:rPr>
                <w:color w:val="auto"/>
                <w:sz w:val="18"/>
                <w:szCs w:val="18"/>
              </w:rPr>
            </w:pPr>
          </w:p>
        </w:tc>
        <w:tc>
          <w:tcPr>
            <w:tcW w:w="1403" w:type="dxa"/>
          </w:tcPr>
          <w:p>
            <w:pPr>
              <w:pStyle w:val="61"/>
              <w:ind w:firstLine="0" w:firstLineChars="0"/>
              <w:jc w:val="center"/>
              <w:rPr>
                <w:color w:val="auto"/>
                <w:sz w:val="18"/>
                <w:szCs w:val="18"/>
              </w:rPr>
            </w:pPr>
            <w:r>
              <w:rPr>
                <w:rFonts w:hint="eastAsia"/>
                <w:color w:val="auto"/>
                <w:sz w:val="18"/>
                <w:szCs w:val="18"/>
              </w:rPr>
              <w:t>园区载具</w:t>
            </w:r>
          </w:p>
        </w:tc>
        <w:tc>
          <w:tcPr>
            <w:tcW w:w="1149" w:type="dxa"/>
          </w:tcPr>
          <w:p>
            <w:pPr>
              <w:pStyle w:val="61"/>
              <w:ind w:firstLine="0" w:firstLineChars="0"/>
              <w:jc w:val="center"/>
              <w:rPr>
                <w:color w:val="auto"/>
                <w:sz w:val="18"/>
                <w:szCs w:val="18"/>
              </w:rPr>
            </w:pPr>
            <w:r>
              <w:rPr>
                <w:rFonts w:hint="eastAsia"/>
                <w:color w:val="auto"/>
                <w:sz w:val="18"/>
                <w:szCs w:val="18"/>
              </w:rPr>
              <w:t>动态信息</w:t>
            </w:r>
          </w:p>
        </w:tc>
        <w:tc>
          <w:tcPr>
            <w:tcW w:w="5804" w:type="dxa"/>
          </w:tcPr>
          <w:p>
            <w:pPr>
              <w:pStyle w:val="61"/>
              <w:ind w:firstLine="0" w:firstLineChars="0"/>
              <w:rPr>
                <w:color w:val="auto"/>
                <w:sz w:val="18"/>
                <w:szCs w:val="18"/>
              </w:rPr>
            </w:pPr>
            <w:r>
              <w:rPr>
                <w:rFonts w:hint="eastAsia"/>
                <w:color w:val="auto"/>
                <w:sz w:val="18"/>
                <w:szCs w:val="18"/>
              </w:rPr>
              <w:t>通行时间、通行权限、停放地点、装卸货物信息、园区内移动信息、维护保养信息、配载信息、排队信息和性能信息（如能耗量、碳排放量）等信息。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tcPr>
          <w:p>
            <w:pPr>
              <w:pStyle w:val="61"/>
              <w:ind w:firstLine="0" w:firstLineChars="0"/>
              <w:jc w:val="center"/>
              <w:rPr>
                <w:color w:val="auto"/>
                <w:sz w:val="18"/>
                <w:szCs w:val="18"/>
              </w:rPr>
            </w:pPr>
          </w:p>
        </w:tc>
        <w:tc>
          <w:tcPr>
            <w:tcW w:w="1403" w:type="dxa"/>
          </w:tcPr>
          <w:p>
            <w:pPr>
              <w:pStyle w:val="61"/>
              <w:ind w:firstLine="0" w:firstLineChars="0"/>
              <w:jc w:val="center"/>
              <w:rPr>
                <w:color w:val="auto"/>
                <w:sz w:val="18"/>
                <w:szCs w:val="18"/>
              </w:rPr>
            </w:pPr>
            <w:r>
              <w:rPr>
                <w:rFonts w:hint="eastAsia"/>
                <w:color w:val="auto"/>
                <w:sz w:val="18"/>
                <w:szCs w:val="18"/>
              </w:rPr>
              <w:t>入驻企业载具</w:t>
            </w:r>
          </w:p>
        </w:tc>
        <w:tc>
          <w:tcPr>
            <w:tcW w:w="1149" w:type="dxa"/>
          </w:tcPr>
          <w:p>
            <w:pPr>
              <w:pStyle w:val="61"/>
              <w:ind w:firstLine="0" w:firstLineChars="0"/>
              <w:jc w:val="center"/>
              <w:rPr>
                <w:color w:val="auto"/>
                <w:sz w:val="18"/>
                <w:szCs w:val="18"/>
              </w:rPr>
            </w:pPr>
            <w:r>
              <w:rPr>
                <w:rFonts w:hint="eastAsia"/>
                <w:color w:val="auto"/>
                <w:sz w:val="18"/>
                <w:szCs w:val="18"/>
              </w:rPr>
              <w:t>静态信息</w:t>
            </w:r>
          </w:p>
        </w:tc>
        <w:tc>
          <w:tcPr>
            <w:tcW w:w="5804" w:type="dxa"/>
          </w:tcPr>
          <w:p>
            <w:pPr>
              <w:pStyle w:val="61"/>
              <w:ind w:firstLine="0" w:firstLineChars="0"/>
              <w:rPr>
                <w:color w:val="auto"/>
                <w:sz w:val="18"/>
                <w:szCs w:val="18"/>
              </w:rPr>
            </w:pPr>
            <w:r>
              <w:rPr>
                <w:rFonts w:hint="eastAsia"/>
                <w:color w:val="auto"/>
                <w:sz w:val="18"/>
                <w:szCs w:val="18"/>
              </w:rPr>
              <w:t>载具类型、载具牌照或登记号码、配载信息、所有者和驾驶员信息等信息。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988" w:type="dxa"/>
            <w:vMerge w:val="continue"/>
          </w:tcPr>
          <w:p>
            <w:pPr>
              <w:pStyle w:val="61"/>
              <w:ind w:firstLine="0" w:firstLineChars="0"/>
              <w:jc w:val="center"/>
              <w:rPr>
                <w:color w:val="auto"/>
                <w:sz w:val="18"/>
                <w:szCs w:val="18"/>
              </w:rPr>
            </w:pPr>
          </w:p>
        </w:tc>
        <w:tc>
          <w:tcPr>
            <w:tcW w:w="1403" w:type="dxa"/>
          </w:tcPr>
          <w:p>
            <w:pPr>
              <w:pStyle w:val="61"/>
              <w:ind w:firstLine="0" w:firstLineChars="0"/>
              <w:jc w:val="center"/>
              <w:rPr>
                <w:color w:val="auto"/>
                <w:sz w:val="18"/>
                <w:szCs w:val="18"/>
              </w:rPr>
            </w:pPr>
            <w:r>
              <w:rPr>
                <w:rFonts w:hint="eastAsia"/>
                <w:color w:val="auto"/>
                <w:sz w:val="18"/>
                <w:szCs w:val="18"/>
              </w:rPr>
              <w:t>入驻企业载具</w:t>
            </w:r>
          </w:p>
        </w:tc>
        <w:tc>
          <w:tcPr>
            <w:tcW w:w="1149" w:type="dxa"/>
          </w:tcPr>
          <w:p>
            <w:pPr>
              <w:pStyle w:val="61"/>
              <w:ind w:firstLine="0" w:firstLineChars="0"/>
              <w:jc w:val="center"/>
              <w:rPr>
                <w:color w:val="auto"/>
                <w:sz w:val="18"/>
                <w:szCs w:val="18"/>
              </w:rPr>
            </w:pPr>
            <w:r>
              <w:rPr>
                <w:rFonts w:hint="eastAsia"/>
                <w:color w:val="auto"/>
                <w:sz w:val="18"/>
                <w:szCs w:val="18"/>
              </w:rPr>
              <w:t>动态信息</w:t>
            </w:r>
          </w:p>
        </w:tc>
        <w:tc>
          <w:tcPr>
            <w:tcW w:w="5804" w:type="dxa"/>
          </w:tcPr>
          <w:p>
            <w:pPr>
              <w:pStyle w:val="61"/>
              <w:ind w:firstLine="0" w:firstLineChars="0"/>
              <w:rPr>
                <w:color w:val="auto"/>
                <w:sz w:val="18"/>
                <w:szCs w:val="18"/>
              </w:rPr>
            </w:pPr>
            <w:r>
              <w:rPr>
                <w:rFonts w:hint="eastAsia"/>
                <w:color w:val="auto"/>
                <w:sz w:val="18"/>
                <w:szCs w:val="18"/>
              </w:rPr>
              <w:t>通行时间、通行权限、停放地点、装卸货物信息、园区内移动信息、配载信息、排队信息和性能信息（如能耗量、碳排放量）等信息。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1" w:type="dxa"/>
            <w:gridSpan w:val="2"/>
            <w:vMerge w:val="restart"/>
          </w:tcPr>
          <w:p>
            <w:pPr>
              <w:pStyle w:val="61"/>
              <w:ind w:firstLine="0" w:firstLineChars="0"/>
              <w:jc w:val="center"/>
              <w:rPr>
                <w:color w:val="auto"/>
                <w:sz w:val="18"/>
                <w:szCs w:val="18"/>
              </w:rPr>
            </w:pPr>
          </w:p>
          <w:p>
            <w:pPr>
              <w:pStyle w:val="61"/>
              <w:ind w:firstLine="0" w:firstLineChars="0"/>
              <w:jc w:val="center"/>
              <w:rPr>
                <w:color w:val="auto"/>
                <w:sz w:val="18"/>
                <w:szCs w:val="18"/>
              </w:rPr>
            </w:pPr>
            <w:r>
              <w:rPr>
                <w:rFonts w:hint="eastAsia"/>
                <w:color w:val="auto"/>
                <w:sz w:val="18"/>
                <w:szCs w:val="18"/>
              </w:rPr>
              <w:t>外部载具</w:t>
            </w:r>
          </w:p>
        </w:tc>
        <w:tc>
          <w:tcPr>
            <w:tcW w:w="1149" w:type="dxa"/>
          </w:tcPr>
          <w:p>
            <w:pPr>
              <w:pStyle w:val="61"/>
              <w:ind w:firstLine="0" w:firstLineChars="0"/>
              <w:jc w:val="center"/>
              <w:rPr>
                <w:color w:val="auto"/>
                <w:sz w:val="18"/>
                <w:szCs w:val="18"/>
              </w:rPr>
            </w:pPr>
            <w:r>
              <w:rPr>
                <w:rFonts w:hint="eastAsia"/>
                <w:color w:val="auto"/>
                <w:sz w:val="18"/>
                <w:szCs w:val="18"/>
              </w:rPr>
              <w:t>静态信息</w:t>
            </w:r>
          </w:p>
        </w:tc>
        <w:tc>
          <w:tcPr>
            <w:tcW w:w="5804" w:type="dxa"/>
          </w:tcPr>
          <w:p>
            <w:pPr>
              <w:pStyle w:val="61"/>
              <w:ind w:firstLine="0" w:firstLineChars="0"/>
              <w:rPr>
                <w:color w:val="auto"/>
                <w:sz w:val="18"/>
                <w:szCs w:val="18"/>
              </w:rPr>
            </w:pPr>
            <w:r>
              <w:rPr>
                <w:rFonts w:hint="eastAsia"/>
                <w:color w:val="auto"/>
                <w:sz w:val="18"/>
                <w:szCs w:val="18"/>
              </w:rPr>
              <w:t>载具类型、载具牌照或登记号码、配载信息、驾驶员信息等信息。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1" w:type="dxa"/>
            <w:gridSpan w:val="2"/>
            <w:vMerge w:val="continue"/>
          </w:tcPr>
          <w:p>
            <w:pPr>
              <w:pStyle w:val="61"/>
              <w:ind w:firstLine="0" w:firstLineChars="0"/>
              <w:jc w:val="center"/>
              <w:rPr>
                <w:color w:val="auto"/>
                <w:sz w:val="18"/>
                <w:szCs w:val="18"/>
              </w:rPr>
            </w:pPr>
          </w:p>
        </w:tc>
        <w:tc>
          <w:tcPr>
            <w:tcW w:w="1149" w:type="dxa"/>
          </w:tcPr>
          <w:p>
            <w:pPr>
              <w:pStyle w:val="61"/>
              <w:ind w:firstLine="0" w:firstLineChars="0"/>
              <w:jc w:val="center"/>
              <w:rPr>
                <w:color w:val="auto"/>
                <w:sz w:val="18"/>
                <w:szCs w:val="18"/>
              </w:rPr>
            </w:pPr>
            <w:r>
              <w:rPr>
                <w:rFonts w:hint="eastAsia"/>
                <w:color w:val="auto"/>
                <w:sz w:val="18"/>
                <w:szCs w:val="18"/>
              </w:rPr>
              <w:t>动态信息</w:t>
            </w:r>
          </w:p>
        </w:tc>
        <w:tc>
          <w:tcPr>
            <w:tcW w:w="5804" w:type="dxa"/>
          </w:tcPr>
          <w:p>
            <w:pPr>
              <w:pStyle w:val="61"/>
              <w:ind w:firstLine="0" w:firstLineChars="0"/>
              <w:rPr>
                <w:color w:val="auto"/>
                <w:sz w:val="18"/>
                <w:szCs w:val="18"/>
              </w:rPr>
            </w:pPr>
            <w:r>
              <w:rPr>
                <w:rFonts w:hint="eastAsia"/>
                <w:color w:val="auto"/>
                <w:sz w:val="18"/>
                <w:szCs w:val="18"/>
              </w:rPr>
              <w:t>通行时间、通行权限、停放地点、装卸货物信息、园区内移动信息、配载信息、排队信息等信息。</w:t>
            </w:r>
          </w:p>
        </w:tc>
      </w:tr>
    </w:tbl>
    <w:p>
      <w:pPr>
        <w:pStyle w:val="110"/>
        <w:spacing w:before="156" w:after="156"/>
        <w:rPr>
          <w:color w:val="auto"/>
        </w:rPr>
      </w:pPr>
      <w:bookmarkStart w:id="77" w:name="_Toc151721693"/>
      <w:r>
        <w:rPr>
          <w:rFonts w:hint="eastAsia"/>
          <w:color w:val="auto"/>
        </w:rPr>
        <w:t>货物要素</w:t>
      </w:r>
      <w:bookmarkEnd w:id="77"/>
    </w:p>
    <w:p>
      <w:pPr>
        <w:pStyle w:val="61"/>
        <w:ind w:firstLine="420"/>
        <w:rPr>
          <w:color w:val="auto"/>
        </w:rPr>
      </w:pPr>
      <w:r>
        <w:rPr>
          <w:rFonts w:hint="eastAsia"/>
          <w:color w:val="auto"/>
        </w:rPr>
        <w:t>按照园区的实际要求，应采集园区货物静态信息和动态信息，具体见表3。</w:t>
      </w:r>
      <w:r>
        <w:rPr>
          <w:color w:val="auto"/>
        </w:rPr>
        <w:t xml:space="preserve"> </w:t>
      </w:r>
    </w:p>
    <w:p>
      <w:pPr>
        <w:spacing w:line="360" w:lineRule="auto"/>
        <w:jc w:val="center"/>
        <w:rPr>
          <w:rFonts w:ascii="黑体" w:hAnsi="黑体" w:eastAsia="黑体"/>
          <w:color w:val="auto"/>
          <w:sz w:val="21"/>
          <w:szCs w:val="21"/>
        </w:rPr>
      </w:pPr>
      <w:r>
        <w:rPr>
          <w:rFonts w:hint="eastAsia" w:ascii="黑体" w:hAnsi="黑体" w:eastAsia="黑体"/>
          <w:color w:val="auto"/>
          <w:sz w:val="21"/>
          <w:szCs w:val="21"/>
        </w:rPr>
        <w:t>表</w:t>
      </w:r>
      <w:r>
        <w:rPr>
          <w:rFonts w:ascii="黑体" w:hAnsi="黑体" w:eastAsia="黑体"/>
          <w:color w:val="auto"/>
          <w:sz w:val="21"/>
          <w:szCs w:val="21"/>
        </w:rPr>
        <w:t xml:space="preserve">3 </w:t>
      </w:r>
      <w:r>
        <w:rPr>
          <w:rFonts w:hint="eastAsia" w:ascii="黑体" w:hAnsi="黑体" w:eastAsia="黑体"/>
          <w:color w:val="auto"/>
          <w:sz w:val="21"/>
          <w:szCs w:val="21"/>
        </w:rPr>
        <w:t>货物要素</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9"/>
        <w:gridCol w:w="7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499" w:type="dxa"/>
            <w:vAlign w:val="center"/>
          </w:tcPr>
          <w:p>
            <w:pPr>
              <w:pStyle w:val="61"/>
              <w:ind w:firstLine="0" w:firstLineChars="0"/>
              <w:jc w:val="center"/>
              <w:rPr>
                <w:color w:val="auto"/>
                <w:sz w:val="18"/>
                <w:szCs w:val="18"/>
              </w:rPr>
            </w:pPr>
            <w:r>
              <w:rPr>
                <w:rFonts w:hint="eastAsia"/>
                <w:color w:val="auto"/>
                <w:sz w:val="18"/>
                <w:szCs w:val="18"/>
              </w:rPr>
              <w:t>静态信息</w:t>
            </w:r>
          </w:p>
        </w:tc>
        <w:tc>
          <w:tcPr>
            <w:tcW w:w="7824" w:type="dxa"/>
          </w:tcPr>
          <w:p>
            <w:pPr>
              <w:pStyle w:val="61"/>
              <w:ind w:firstLine="0" w:firstLineChars="0"/>
              <w:rPr>
                <w:color w:val="auto"/>
                <w:sz w:val="18"/>
                <w:szCs w:val="18"/>
              </w:rPr>
            </w:pPr>
            <w:r>
              <w:rPr>
                <w:rFonts w:hint="eastAsia"/>
                <w:color w:val="auto"/>
                <w:sz w:val="18"/>
                <w:szCs w:val="18"/>
              </w:rPr>
              <w:t>货物名称、品种、规格、包装单位、货物存储条件、货主名称、入库承运人、出库承运人、出入库时间、出入库数量、存放位置信息、管理者、保险等信息。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499" w:type="dxa"/>
            <w:vAlign w:val="center"/>
          </w:tcPr>
          <w:p>
            <w:pPr>
              <w:pStyle w:val="61"/>
              <w:ind w:firstLine="0" w:firstLineChars="0"/>
              <w:jc w:val="center"/>
              <w:rPr>
                <w:color w:val="auto"/>
                <w:sz w:val="18"/>
                <w:szCs w:val="18"/>
              </w:rPr>
            </w:pPr>
            <w:r>
              <w:rPr>
                <w:rFonts w:hint="eastAsia"/>
                <w:color w:val="auto"/>
                <w:sz w:val="18"/>
                <w:szCs w:val="18"/>
              </w:rPr>
              <w:t>动态信息</w:t>
            </w:r>
          </w:p>
        </w:tc>
        <w:tc>
          <w:tcPr>
            <w:tcW w:w="7824" w:type="dxa"/>
          </w:tcPr>
          <w:p>
            <w:pPr>
              <w:pStyle w:val="61"/>
              <w:ind w:firstLine="0" w:firstLineChars="0"/>
              <w:rPr>
                <w:color w:val="auto"/>
                <w:sz w:val="18"/>
                <w:szCs w:val="18"/>
              </w:rPr>
            </w:pPr>
            <w:r>
              <w:rPr>
                <w:rFonts w:hint="eastAsia"/>
                <w:color w:val="auto"/>
                <w:sz w:val="18"/>
                <w:szCs w:val="18"/>
              </w:rPr>
              <w:t>货物调度信息、出入库动线信息、分拣及装卸搬运过程信息等信息。</w:t>
            </w:r>
          </w:p>
        </w:tc>
      </w:tr>
    </w:tbl>
    <w:p>
      <w:pPr>
        <w:pStyle w:val="110"/>
        <w:spacing w:before="156" w:after="156"/>
        <w:rPr>
          <w:color w:val="auto"/>
        </w:rPr>
      </w:pPr>
      <w:bookmarkStart w:id="78" w:name="_Toc151721694"/>
      <w:r>
        <w:rPr>
          <w:rFonts w:hint="eastAsia"/>
          <w:color w:val="auto"/>
        </w:rPr>
        <w:t>场地要素</w:t>
      </w:r>
      <w:bookmarkEnd w:id="78"/>
    </w:p>
    <w:p>
      <w:pPr>
        <w:pStyle w:val="61"/>
        <w:ind w:firstLine="420"/>
        <w:rPr>
          <w:color w:val="auto"/>
        </w:rPr>
      </w:pPr>
      <w:r>
        <w:rPr>
          <w:rFonts w:hint="eastAsia"/>
          <w:color w:val="auto"/>
        </w:rPr>
        <w:t>按照园区的实际要求，应采集园区内的站台、货场、堆场、库区、仓库、货位、作业场所等的静态信息和动态信息，具体见表</w:t>
      </w:r>
      <w:r>
        <w:rPr>
          <w:color w:val="auto"/>
        </w:rPr>
        <w:t>4</w:t>
      </w:r>
      <w:r>
        <w:rPr>
          <w:rFonts w:hint="eastAsia"/>
          <w:color w:val="auto"/>
        </w:rPr>
        <w:t>。</w:t>
      </w:r>
      <w:r>
        <w:rPr>
          <w:color w:val="auto"/>
        </w:rPr>
        <w:t xml:space="preserve"> </w:t>
      </w:r>
    </w:p>
    <w:p>
      <w:pPr>
        <w:spacing w:line="360" w:lineRule="auto"/>
        <w:jc w:val="center"/>
        <w:rPr>
          <w:rFonts w:ascii="黑体" w:hAnsi="黑体" w:eastAsia="黑体"/>
          <w:color w:val="auto"/>
          <w:sz w:val="21"/>
          <w:szCs w:val="21"/>
        </w:rPr>
      </w:pPr>
      <w:r>
        <w:rPr>
          <w:rFonts w:hint="eastAsia" w:ascii="黑体" w:hAnsi="黑体" w:eastAsia="黑体"/>
          <w:color w:val="auto"/>
          <w:sz w:val="21"/>
          <w:szCs w:val="21"/>
        </w:rPr>
        <w:t>表</w:t>
      </w:r>
      <w:r>
        <w:rPr>
          <w:rFonts w:ascii="黑体" w:hAnsi="黑体" w:eastAsia="黑体"/>
          <w:color w:val="auto"/>
          <w:sz w:val="21"/>
          <w:szCs w:val="21"/>
        </w:rPr>
        <w:t xml:space="preserve">4 </w:t>
      </w:r>
      <w:r>
        <w:rPr>
          <w:rFonts w:hint="eastAsia" w:ascii="黑体" w:hAnsi="黑体" w:eastAsia="黑体"/>
          <w:color w:val="auto"/>
          <w:sz w:val="21"/>
          <w:szCs w:val="21"/>
        </w:rPr>
        <w:t>场地要素</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9"/>
        <w:gridCol w:w="7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499" w:type="dxa"/>
          </w:tcPr>
          <w:p>
            <w:pPr>
              <w:pStyle w:val="61"/>
              <w:ind w:firstLine="0" w:firstLineChars="0"/>
              <w:jc w:val="center"/>
              <w:rPr>
                <w:color w:val="auto"/>
                <w:sz w:val="18"/>
                <w:szCs w:val="18"/>
              </w:rPr>
            </w:pPr>
            <w:r>
              <w:rPr>
                <w:rFonts w:hint="eastAsia"/>
                <w:color w:val="auto"/>
                <w:sz w:val="18"/>
                <w:szCs w:val="18"/>
              </w:rPr>
              <w:t>静态信息</w:t>
            </w:r>
          </w:p>
        </w:tc>
        <w:tc>
          <w:tcPr>
            <w:tcW w:w="7824" w:type="dxa"/>
          </w:tcPr>
          <w:p>
            <w:pPr>
              <w:pStyle w:val="61"/>
              <w:ind w:firstLine="0" w:firstLineChars="0"/>
              <w:rPr>
                <w:color w:val="auto"/>
                <w:sz w:val="18"/>
                <w:szCs w:val="18"/>
              </w:rPr>
            </w:pPr>
            <w:r>
              <w:rPr>
                <w:rFonts w:hint="eastAsia"/>
                <w:color w:val="auto"/>
                <w:sz w:val="18"/>
                <w:szCs w:val="18"/>
              </w:rPr>
              <w:t>场的位置、面积、布局、功能分区、使用年限、竣工日期、结构信息（如钢结构、楼层、电梯等）、承重、立柱距、屋顶净高、卸货平台、消防等级、雨棚、光伏、雨水回收、充电桩、盘道等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499" w:type="dxa"/>
          </w:tcPr>
          <w:p>
            <w:pPr>
              <w:pStyle w:val="61"/>
              <w:ind w:firstLine="0" w:firstLineChars="0"/>
              <w:jc w:val="center"/>
              <w:rPr>
                <w:color w:val="auto"/>
                <w:sz w:val="18"/>
                <w:szCs w:val="18"/>
              </w:rPr>
            </w:pPr>
            <w:r>
              <w:rPr>
                <w:rFonts w:hint="eastAsia"/>
                <w:color w:val="auto"/>
                <w:sz w:val="18"/>
                <w:szCs w:val="18"/>
              </w:rPr>
              <w:t>动态信息</w:t>
            </w:r>
          </w:p>
        </w:tc>
        <w:tc>
          <w:tcPr>
            <w:tcW w:w="7824" w:type="dxa"/>
          </w:tcPr>
          <w:p>
            <w:pPr>
              <w:pStyle w:val="61"/>
              <w:ind w:firstLine="0" w:firstLineChars="0"/>
              <w:rPr>
                <w:color w:val="auto"/>
                <w:sz w:val="18"/>
                <w:szCs w:val="18"/>
              </w:rPr>
            </w:pPr>
            <w:r>
              <w:rPr>
                <w:rFonts w:hint="eastAsia"/>
                <w:color w:val="auto"/>
                <w:sz w:val="18"/>
                <w:szCs w:val="18"/>
              </w:rPr>
              <w:t>场内设施的定位信息、历史数据信息、作业状态实时监控信息、异常报警信息等</w:t>
            </w:r>
          </w:p>
        </w:tc>
      </w:tr>
    </w:tbl>
    <w:p>
      <w:pPr>
        <w:pStyle w:val="61"/>
        <w:ind w:firstLine="0" w:firstLineChars="0"/>
        <w:jc w:val="center"/>
        <w:rPr>
          <w:color w:val="auto"/>
        </w:rPr>
      </w:pPr>
      <w:r>
        <w:rPr>
          <w:rFonts w:hint="eastAsia"/>
          <w:color w:val="auto"/>
        </w:rPr>
        <w:t xml:space="preserve"> </w:t>
      </w:r>
    </w:p>
    <w:p>
      <w:pPr>
        <w:pStyle w:val="110"/>
        <w:spacing w:before="156" w:after="156"/>
        <w:rPr>
          <w:color w:val="auto"/>
        </w:rPr>
      </w:pPr>
      <w:bookmarkStart w:id="79" w:name="_Toc151721695"/>
      <w:r>
        <w:rPr>
          <w:rFonts w:hint="eastAsia"/>
          <w:color w:val="auto"/>
        </w:rPr>
        <w:t>道路要素</w:t>
      </w:r>
      <w:bookmarkEnd w:id="79"/>
    </w:p>
    <w:p>
      <w:pPr>
        <w:pStyle w:val="61"/>
        <w:ind w:firstLine="420"/>
        <w:rPr>
          <w:color w:val="auto"/>
        </w:rPr>
      </w:pPr>
      <w:r>
        <w:rPr>
          <w:rFonts w:hint="eastAsia"/>
          <w:color w:val="auto"/>
        </w:rPr>
        <w:t>按照园区的实际要求，应采集园区内道路的静态信息和动态信息，具体见表</w:t>
      </w:r>
      <w:r>
        <w:rPr>
          <w:color w:val="auto"/>
        </w:rPr>
        <w:t>5</w:t>
      </w:r>
      <w:r>
        <w:rPr>
          <w:rFonts w:hint="eastAsia"/>
          <w:color w:val="auto"/>
        </w:rPr>
        <w:t>。</w:t>
      </w:r>
    </w:p>
    <w:p>
      <w:pPr>
        <w:spacing w:line="360" w:lineRule="auto"/>
        <w:jc w:val="center"/>
        <w:rPr>
          <w:rFonts w:ascii="黑体" w:hAnsi="黑体" w:eastAsia="黑体"/>
          <w:color w:val="auto"/>
          <w:sz w:val="21"/>
          <w:szCs w:val="21"/>
        </w:rPr>
      </w:pPr>
      <w:r>
        <w:rPr>
          <w:rFonts w:hint="eastAsia" w:ascii="黑体" w:hAnsi="黑体" w:eastAsia="黑体"/>
          <w:color w:val="auto"/>
          <w:sz w:val="21"/>
          <w:szCs w:val="21"/>
        </w:rPr>
        <w:t>表</w:t>
      </w:r>
      <w:r>
        <w:rPr>
          <w:rFonts w:ascii="黑体" w:hAnsi="黑体" w:eastAsia="黑体"/>
          <w:color w:val="auto"/>
          <w:sz w:val="21"/>
          <w:szCs w:val="21"/>
        </w:rPr>
        <w:t xml:space="preserve">5 </w:t>
      </w:r>
      <w:r>
        <w:rPr>
          <w:rFonts w:hint="eastAsia" w:ascii="黑体" w:hAnsi="黑体" w:eastAsia="黑体"/>
          <w:color w:val="auto"/>
          <w:sz w:val="21"/>
          <w:szCs w:val="21"/>
        </w:rPr>
        <w:t>道路要素</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9"/>
        <w:gridCol w:w="7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499" w:type="dxa"/>
          </w:tcPr>
          <w:p>
            <w:pPr>
              <w:pStyle w:val="61"/>
              <w:ind w:firstLine="0" w:firstLineChars="0"/>
              <w:jc w:val="center"/>
              <w:rPr>
                <w:color w:val="auto"/>
                <w:sz w:val="18"/>
                <w:szCs w:val="18"/>
              </w:rPr>
            </w:pPr>
            <w:r>
              <w:rPr>
                <w:rFonts w:hint="eastAsia"/>
                <w:color w:val="auto"/>
                <w:sz w:val="18"/>
                <w:szCs w:val="18"/>
              </w:rPr>
              <w:t>静态信息</w:t>
            </w:r>
          </w:p>
        </w:tc>
        <w:tc>
          <w:tcPr>
            <w:tcW w:w="7824" w:type="dxa"/>
          </w:tcPr>
          <w:p>
            <w:pPr>
              <w:pStyle w:val="61"/>
              <w:ind w:firstLine="0" w:firstLineChars="0"/>
              <w:rPr>
                <w:color w:val="auto"/>
                <w:sz w:val="18"/>
                <w:szCs w:val="18"/>
              </w:rPr>
            </w:pPr>
            <w:r>
              <w:rPr>
                <w:rFonts w:hint="eastAsia"/>
                <w:color w:val="auto"/>
                <w:sz w:val="18"/>
                <w:szCs w:val="18"/>
              </w:rPr>
              <w:t>物流园区道路布局图、通行标志、禁行线信息、道路宽度、地面荷载能力、各类型道路数量和建设与维护保养记录等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499" w:type="dxa"/>
          </w:tcPr>
          <w:p>
            <w:pPr>
              <w:pStyle w:val="61"/>
              <w:ind w:firstLine="0" w:firstLineChars="0"/>
              <w:jc w:val="center"/>
              <w:rPr>
                <w:color w:val="auto"/>
                <w:sz w:val="18"/>
                <w:szCs w:val="18"/>
              </w:rPr>
            </w:pPr>
            <w:r>
              <w:rPr>
                <w:rFonts w:hint="eastAsia"/>
                <w:color w:val="auto"/>
                <w:sz w:val="18"/>
                <w:szCs w:val="18"/>
              </w:rPr>
              <w:t>动态信息</w:t>
            </w:r>
          </w:p>
        </w:tc>
        <w:tc>
          <w:tcPr>
            <w:tcW w:w="7824" w:type="dxa"/>
          </w:tcPr>
          <w:p>
            <w:pPr>
              <w:pStyle w:val="61"/>
              <w:ind w:firstLine="0" w:firstLineChars="0"/>
              <w:rPr>
                <w:color w:val="auto"/>
                <w:sz w:val="18"/>
                <w:szCs w:val="18"/>
              </w:rPr>
            </w:pPr>
            <w:r>
              <w:rPr>
                <w:rFonts w:hint="eastAsia"/>
                <w:color w:val="auto"/>
                <w:sz w:val="18"/>
                <w:szCs w:val="18"/>
              </w:rPr>
              <w:t>道路上的车辆流动和货物流动等道路使用信息、道路新建改建信息、道路检查和修复过程信息等</w:t>
            </w:r>
          </w:p>
        </w:tc>
      </w:tr>
    </w:tbl>
    <w:p>
      <w:pPr>
        <w:pStyle w:val="110"/>
        <w:spacing w:before="156" w:after="156"/>
        <w:rPr>
          <w:color w:val="auto"/>
        </w:rPr>
      </w:pPr>
      <w:bookmarkStart w:id="80" w:name="_Toc151721696"/>
      <w:r>
        <w:rPr>
          <w:rFonts w:hint="eastAsia"/>
          <w:color w:val="auto"/>
        </w:rPr>
        <w:t>环境要素</w:t>
      </w:r>
      <w:bookmarkEnd w:id="80"/>
    </w:p>
    <w:p>
      <w:pPr>
        <w:pStyle w:val="61"/>
        <w:ind w:firstLine="420"/>
        <w:rPr>
          <w:color w:val="auto"/>
        </w:rPr>
      </w:pPr>
      <w:r>
        <w:rPr>
          <w:rFonts w:hint="eastAsia"/>
          <w:color w:val="auto"/>
        </w:rPr>
        <w:t>按照园区的实际要求，应采集物流园区内环境的静态信息和动态信息，具体见表</w:t>
      </w:r>
      <w:r>
        <w:rPr>
          <w:color w:val="auto"/>
        </w:rPr>
        <w:t>6</w:t>
      </w:r>
      <w:r>
        <w:rPr>
          <w:rFonts w:hint="eastAsia"/>
          <w:color w:val="auto"/>
        </w:rPr>
        <w:t>。</w:t>
      </w:r>
    </w:p>
    <w:p>
      <w:pPr>
        <w:spacing w:line="360" w:lineRule="auto"/>
        <w:jc w:val="center"/>
        <w:rPr>
          <w:rFonts w:hint="eastAsia" w:ascii="黑体" w:hAnsi="黑体" w:eastAsia="黑体"/>
          <w:color w:val="auto"/>
          <w:sz w:val="21"/>
          <w:szCs w:val="21"/>
        </w:rPr>
      </w:pPr>
    </w:p>
    <w:p>
      <w:pPr>
        <w:spacing w:line="360" w:lineRule="auto"/>
        <w:jc w:val="center"/>
        <w:rPr>
          <w:rFonts w:hint="eastAsia" w:ascii="黑体" w:hAnsi="黑体" w:eastAsia="黑体"/>
          <w:color w:val="auto"/>
          <w:sz w:val="21"/>
          <w:szCs w:val="21"/>
        </w:rPr>
      </w:pPr>
    </w:p>
    <w:p>
      <w:pPr>
        <w:spacing w:line="360" w:lineRule="auto"/>
        <w:jc w:val="center"/>
        <w:rPr>
          <w:rFonts w:ascii="黑体" w:hAnsi="黑体" w:eastAsia="黑体"/>
          <w:color w:val="auto"/>
          <w:sz w:val="21"/>
          <w:szCs w:val="21"/>
        </w:rPr>
      </w:pPr>
      <w:r>
        <w:rPr>
          <w:rFonts w:hint="eastAsia" w:ascii="黑体" w:hAnsi="黑体" w:eastAsia="黑体"/>
          <w:color w:val="auto"/>
          <w:sz w:val="21"/>
          <w:szCs w:val="21"/>
        </w:rPr>
        <w:t>表</w:t>
      </w:r>
      <w:r>
        <w:rPr>
          <w:rFonts w:ascii="黑体" w:hAnsi="黑体" w:eastAsia="黑体"/>
          <w:color w:val="auto"/>
          <w:sz w:val="21"/>
          <w:szCs w:val="21"/>
        </w:rPr>
        <w:t xml:space="preserve">6 </w:t>
      </w:r>
      <w:r>
        <w:rPr>
          <w:rFonts w:hint="eastAsia" w:ascii="黑体" w:hAnsi="黑体" w:eastAsia="黑体"/>
          <w:color w:val="auto"/>
          <w:sz w:val="21"/>
          <w:szCs w:val="21"/>
        </w:rPr>
        <w:t>环境要素</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9"/>
        <w:gridCol w:w="7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499" w:type="dxa"/>
          </w:tcPr>
          <w:p>
            <w:pPr>
              <w:pStyle w:val="61"/>
              <w:ind w:firstLine="0" w:firstLineChars="0"/>
              <w:jc w:val="center"/>
              <w:rPr>
                <w:color w:val="auto"/>
                <w:sz w:val="18"/>
                <w:szCs w:val="18"/>
              </w:rPr>
            </w:pPr>
            <w:r>
              <w:rPr>
                <w:rFonts w:hint="eastAsia"/>
                <w:color w:val="auto"/>
                <w:sz w:val="18"/>
                <w:szCs w:val="18"/>
              </w:rPr>
              <w:t>静态信息</w:t>
            </w:r>
          </w:p>
        </w:tc>
        <w:tc>
          <w:tcPr>
            <w:tcW w:w="7824" w:type="dxa"/>
          </w:tcPr>
          <w:p>
            <w:pPr>
              <w:pStyle w:val="61"/>
              <w:ind w:firstLine="0" w:firstLineChars="0"/>
              <w:rPr>
                <w:color w:val="auto"/>
                <w:sz w:val="18"/>
                <w:szCs w:val="18"/>
              </w:rPr>
            </w:pPr>
            <w:r>
              <w:rPr>
                <w:rFonts w:hint="eastAsia"/>
                <w:color w:val="auto"/>
                <w:sz w:val="18"/>
                <w:szCs w:val="18"/>
              </w:rPr>
              <w:t>物流园区所在地理环境、各场所在区域地理环境的描述统计和信息记录，包括但不限于平均温度、平均湿度、平均酸碱度、平均日晒度、平均降水和降雪、历史灾害信息、海拔信息等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499" w:type="dxa"/>
          </w:tcPr>
          <w:p>
            <w:pPr>
              <w:pStyle w:val="61"/>
              <w:ind w:firstLine="0" w:firstLineChars="0"/>
              <w:jc w:val="center"/>
              <w:rPr>
                <w:color w:val="auto"/>
                <w:sz w:val="18"/>
                <w:szCs w:val="18"/>
              </w:rPr>
            </w:pPr>
            <w:r>
              <w:rPr>
                <w:rFonts w:hint="eastAsia"/>
                <w:color w:val="auto"/>
                <w:sz w:val="18"/>
                <w:szCs w:val="18"/>
              </w:rPr>
              <w:t>动态信息</w:t>
            </w:r>
          </w:p>
        </w:tc>
        <w:tc>
          <w:tcPr>
            <w:tcW w:w="7824" w:type="dxa"/>
          </w:tcPr>
          <w:p>
            <w:pPr>
              <w:pStyle w:val="61"/>
              <w:ind w:firstLine="0" w:firstLineChars="0"/>
              <w:rPr>
                <w:color w:val="auto"/>
                <w:sz w:val="18"/>
                <w:szCs w:val="18"/>
              </w:rPr>
            </w:pPr>
            <w:r>
              <w:rPr>
                <w:rFonts w:hint="eastAsia"/>
                <w:color w:val="auto"/>
                <w:sz w:val="18"/>
                <w:szCs w:val="18"/>
              </w:rPr>
              <w:t>物流园区所在地理环境、各场所在区域地理环境的动态变化信息，包括但不限于温度变化、湿度变化、酸碱度变化、日晒度变化、降水和降雪变化等</w:t>
            </w:r>
          </w:p>
        </w:tc>
      </w:tr>
      <w:bookmarkEnd w:id="63"/>
      <w:bookmarkEnd w:id="64"/>
    </w:tbl>
    <w:p>
      <w:pPr>
        <w:pStyle w:val="110"/>
        <w:spacing w:before="156" w:after="156"/>
        <w:rPr>
          <w:color w:val="auto"/>
        </w:rPr>
      </w:pPr>
      <w:bookmarkStart w:id="81" w:name="_Toc151721697"/>
      <w:r>
        <w:rPr>
          <w:rFonts w:hint="eastAsia"/>
          <w:color w:val="auto"/>
        </w:rPr>
        <w:t>其他要求</w:t>
      </w:r>
      <w:bookmarkEnd w:id="81"/>
    </w:p>
    <w:p>
      <w:pPr>
        <w:pStyle w:val="61"/>
        <w:ind w:firstLine="420"/>
        <w:rPr>
          <w:color w:val="auto"/>
        </w:rPr>
      </w:pPr>
      <w:r>
        <w:rPr>
          <w:rFonts w:hint="eastAsia"/>
          <w:color w:val="auto"/>
        </w:rPr>
        <w:t>特殊类型的园区如冷链、危化品类园区应额外采集满足其特殊功能需求的信息。</w:t>
      </w:r>
    </w:p>
    <w:p>
      <w:pPr>
        <w:pStyle w:val="109"/>
        <w:spacing w:before="312" w:after="312"/>
        <w:rPr>
          <w:color w:val="auto"/>
        </w:rPr>
      </w:pPr>
      <w:bookmarkStart w:id="82" w:name="_Toc151721698"/>
      <w:bookmarkStart w:id="83" w:name="_Hlk150418053"/>
      <w:r>
        <w:rPr>
          <w:rFonts w:hint="eastAsia"/>
          <w:color w:val="auto"/>
        </w:rPr>
        <w:t>园区管理活动的数字化</w:t>
      </w:r>
      <w:bookmarkEnd w:id="82"/>
    </w:p>
    <w:bookmarkEnd w:id="83"/>
    <w:p>
      <w:pPr>
        <w:pStyle w:val="110"/>
        <w:spacing w:before="156" w:after="156"/>
        <w:rPr>
          <w:rFonts w:ascii="宋体" w:eastAsia="宋体"/>
          <w:color w:val="auto"/>
        </w:rPr>
      </w:pPr>
      <w:bookmarkStart w:id="84" w:name="_Toc151721699"/>
      <w:r>
        <w:rPr>
          <w:rFonts w:hint="eastAsia"/>
          <w:color w:val="auto"/>
        </w:rPr>
        <w:t>整体要求</w:t>
      </w:r>
      <w:bookmarkEnd w:id="84"/>
    </w:p>
    <w:p>
      <w:pPr>
        <w:pStyle w:val="170"/>
        <w:rPr>
          <w:color w:val="auto"/>
        </w:rPr>
      </w:pPr>
      <w:bookmarkStart w:id="85" w:name="_Hlk150418890"/>
      <w:r>
        <w:rPr>
          <w:rFonts w:hint="eastAsia"/>
          <w:color w:val="auto"/>
        </w:rPr>
        <w:t>应通过物流园区数字化管理平台</w:t>
      </w:r>
      <w:r>
        <w:rPr>
          <w:rFonts w:hint="eastAsia"/>
          <w:color w:val="auto"/>
        </w:rPr>
        <w:t>对管理活动要素进行实时展示、分析和管理，对异常情况进行预警和处理。</w:t>
      </w:r>
    </w:p>
    <w:p>
      <w:pPr>
        <w:pStyle w:val="170"/>
        <w:rPr>
          <w:color w:val="auto"/>
        </w:rPr>
      </w:pPr>
      <w:r>
        <w:rPr>
          <w:rFonts w:hint="eastAsia"/>
          <w:color w:val="auto"/>
        </w:rPr>
        <w:t>管理活动要素的信息展示，宜采用报表、图文、视频、数字孪生仿真等多种方式。</w:t>
      </w:r>
    </w:p>
    <w:p>
      <w:pPr>
        <w:pStyle w:val="170"/>
        <w:rPr>
          <w:color w:val="auto"/>
        </w:rPr>
      </w:pPr>
      <w:r>
        <w:rPr>
          <w:rFonts w:hint="eastAsia"/>
          <w:color w:val="auto"/>
        </w:rPr>
        <w:t>应根据对象配置不同系统权限，配备不同管理终端设备。</w:t>
      </w:r>
    </w:p>
    <w:bookmarkEnd w:id="85"/>
    <w:p>
      <w:pPr>
        <w:pStyle w:val="110"/>
        <w:spacing w:before="156" w:after="156"/>
        <w:rPr>
          <w:color w:val="auto"/>
        </w:rPr>
      </w:pPr>
      <w:bookmarkStart w:id="86" w:name="_Toc151721700"/>
      <w:r>
        <w:rPr>
          <w:rFonts w:hint="eastAsia"/>
          <w:color w:val="auto"/>
        </w:rPr>
        <w:t>接口管理活动的数字化</w:t>
      </w:r>
      <w:bookmarkEnd w:id="86"/>
    </w:p>
    <w:p>
      <w:pPr>
        <w:pStyle w:val="170"/>
        <w:rPr>
          <w:color w:val="auto"/>
        </w:rPr>
      </w:pPr>
      <w:bookmarkStart w:id="87" w:name="_Hlk150419061"/>
      <w:r>
        <w:rPr>
          <w:rFonts w:hint="eastAsia"/>
          <w:color w:val="auto"/>
        </w:rPr>
        <w:t>各类管理信息系统应对接内部人力资源管</w:t>
      </w:r>
      <w:r>
        <w:rPr>
          <w:rFonts w:hint="eastAsia"/>
          <w:color w:val="auto"/>
        </w:rPr>
        <w:t>理系统，采集6</w:t>
      </w:r>
      <w:r>
        <w:rPr>
          <w:color w:val="auto"/>
        </w:rPr>
        <w:t>.1</w:t>
      </w:r>
      <w:r>
        <w:rPr>
          <w:rFonts w:hint="eastAsia"/>
          <w:color w:val="auto"/>
        </w:rPr>
        <w:t>中内部人员信息。</w:t>
      </w:r>
    </w:p>
    <w:p>
      <w:pPr>
        <w:pStyle w:val="170"/>
        <w:rPr>
          <w:color w:val="auto"/>
        </w:rPr>
      </w:pPr>
      <w:r>
        <w:rPr>
          <w:rFonts w:hint="eastAsia"/>
          <w:color w:val="auto"/>
        </w:rPr>
        <w:t>各类管理信息系统应对接内部财务管理系统，交换资金管理信息，管理园区计费和收费。</w:t>
      </w:r>
    </w:p>
    <w:p>
      <w:pPr>
        <w:pStyle w:val="170"/>
        <w:rPr>
          <w:color w:val="auto"/>
        </w:rPr>
      </w:pPr>
      <w:r>
        <w:rPr>
          <w:rFonts w:hint="eastAsia"/>
          <w:color w:val="auto"/>
        </w:rPr>
        <w:t>各类管理信息系统应对接外部第三方支付、报关等系统，提供在线支付、报关等便捷服务。</w:t>
      </w:r>
    </w:p>
    <w:bookmarkEnd w:id="87"/>
    <w:p>
      <w:pPr>
        <w:pStyle w:val="110"/>
        <w:spacing w:before="156" w:after="156"/>
        <w:rPr>
          <w:color w:val="auto"/>
        </w:rPr>
      </w:pPr>
      <w:bookmarkStart w:id="88" w:name="_Toc151721701"/>
      <w:r>
        <w:rPr>
          <w:rFonts w:hint="eastAsia"/>
          <w:color w:val="auto"/>
        </w:rPr>
        <w:t>通行管理活动的数字化</w:t>
      </w:r>
      <w:bookmarkEnd w:id="88"/>
    </w:p>
    <w:p>
      <w:pPr>
        <w:pStyle w:val="170"/>
        <w:rPr>
          <w:color w:val="auto"/>
        </w:rPr>
      </w:pPr>
      <w:r>
        <w:rPr>
          <w:rFonts w:hint="eastAsia"/>
          <w:color w:val="auto"/>
        </w:rPr>
        <w:t>应建立通行管理系统，对通行信息采集、识别和使用进行管理，并对异常情况进行识别和即时报警。</w:t>
      </w:r>
    </w:p>
    <w:p>
      <w:pPr>
        <w:pStyle w:val="170"/>
        <w:rPr>
          <w:rFonts w:ascii="黑体" w:eastAsia="黑体"/>
          <w:color w:val="auto"/>
        </w:rPr>
      </w:pPr>
      <w:r>
        <w:rPr>
          <w:rFonts w:hint="eastAsia"/>
          <w:color w:val="auto"/>
        </w:rPr>
        <w:t>应在园区出入口及重点通行管理区域采集6.1人员要素的信息。</w:t>
      </w:r>
    </w:p>
    <w:p>
      <w:pPr>
        <w:pStyle w:val="170"/>
        <w:rPr>
          <w:color w:val="auto"/>
        </w:rPr>
      </w:pPr>
      <w:r>
        <w:rPr>
          <w:rFonts w:hint="eastAsia"/>
          <w:color w:val="auto"/>
        </w:rPr>
        <w:t>应在园区出入口及重点通行管理区域采集6.</w:t>
      </w:r>
      <w:r>
        <w:rPr>
          <w:color w:val="auto"/>
        </w:rPr>
        <w:t>2</w:t>
      </w:r>
      <w:r>
        <w:rPr>
          <w:rFonts w:hint="eastAsia"/>
          <w:color w:val="auto"/>
        </w:rPr>
        <w:t>载具要素的信息。</w:t>
      </w:r>
      <w:r>
        <w:rPr>
          <w:color w:val="auto"/>
        </w:rPr>
        <w:t xml:space="preserve"> </w:t>
      </w:r>
    </w:p>
    <w:p>
      <w:pPr>
        <w:pStyle w:val="170"/>
        <w:rPr>
          <w:rFonts w:ascii="黑体" w:eastAsia="黑体"/>
          <w:color w:val="auto"/>
        </w:rPr>
      </w:pPr>
      <w:r>
        <w:rPr>
          <w:rFonts w:hint="eastAsia"/>
          <w:color w:val="auto"/>
        </w:rPr>
        <w:t>通行管理系统应与物流园区车辆通行、人员、订单等业务数据实现即时比对和敏捷识别的技术能力。</w:t>
      </w:r>
    </w:p>
    <w:p>
      <w:pPr>
        <w:pStyle w:val="170"/>
        <w:rPr>
          <w:rFonts w:ascii="黑体" w:eastAsia="黑体"/>
          <w:color w:val="auto"/>
        </w:rPr>
      </w:pPr>
      <w:r>
        <w:rPr>
          <w:rFonts w:hint="eastAsia"/>
          <w:color w:val="auto"/>
        </w:rPr>
        <w:t>通行管理活动的人员信息应与物流园区办公管理系统、人力资源管理系统、作业管理系统等实现对接。</w:t>
      </w:r>
    </w:p>
    <w:p>
      <w:pPr>
        <w:pStyle w:val="170"/>
        <w:rPr>
          <w:color w:val="auto"/>
        </w:rPr>
      </w:pPr>
      <w:r>
        <w:rPr>
          <w:rFonts w:hint="eastAsia"/>
          <w:color w:val="auto"/>
        </w:rPr>
        <w:t>入园车辆相关业务数据应与物流园区财务管理系统、其他第三方金融服务系统等实现后台有效对接，并根据载具停留时间或配载数据，进行计费和收费管理。</w:t>
      </w:r>
    </w:p>
    <w:p>
      <w:pPr>
        <w:pStyle w:val="110"/>
        <w:spacing w:before="156" w:after="156"/>
        <w:rPr>
          <w:color w:val="auto"/>
        </w:rPr>
      </w:pPr>
      <w:r>
        <w:rPr>
          <w:rFonts w:hint="eastAsia"/>
          <w:color w:val="auto"/>
        </w:rPr>
        <w:t xml:space="preserve"> </w:t>
      </w:r>
      <w:bookmarkStart w:id="89" w:name="_Toc151721702"/>
      <w:r>
        <w:rPr>
          <w:rFonts w:hint="eastAsia"/>
          <w:color w:val="auto"/>
        </w:rPr>
        <w:t>调度管理活动的数字化</w:t>
      </w:r>
      <w:bookmarkEnd w:id="89"/>
    </w:p>
    <w:p>
      <w:pPr>
        <w:pStyle w:val="170"/>
        <w:rPr>
          <w:color w:val="auto"/>
        </w:rPr>
      </w:pPr>
      <w:r>
        <w:rPr>
          <w:rFonts w:hint="eastAsia"/>
          <w:color w:val="auto"/>
        </w:rPr>
        <w:t>应建立调度管理系统，对调度信息采集、识别和使用进行管理，并对异常情况进行识别和即时报警。</w:t>
      </w:r>
    </w:p>
    <w:p>
      <w:pPr>
        <w:pStyle w:val="170"/>
        <w:rPr>
          <w:color w:val="auto"/>
        </w:rPr>
      </w:pPr>
      <w:r>
        <w:rPr>
          <w:rFonts w:hint="eastAsia"/>
          <w:color w:val="auto"/>
        </w:rPr>
        <w:t>应对物流园区内关键作业位置如出入口、车位、作业区、仓库、月台和建筑物等进行编号，采集6.4场地要素信息。</w:t>
      </w:r>
    </w:p>
    <w:p>
      <w:pPr>
        <w:pStyle w:val="170"/>
        <w:rPr>
          <w:color w:val="auto"/>
        </w:rPr>
      </w:pPr>
      <w:r>
        <w:rPr>
          <w:rFonts w:hint="eastAsia"/>
          <w:color w:val="auto"/>
        </w:rPr>
        <w:t>应采集6.5道路要素的信息，在数字地图上进行道路信息标注。</w:t>
      </w:r>
    </w:p>
    <w:p>
      <w:pPr>
        <w:pStyle w:val="170"/>
        <w:rPr>
          <w:color w:val="auto"/>
        </w:rPr>
      </w:pPr>
      <w:r>
        <w:rPr>
          <w:rFonts w:hint="eastAsia"/>
          <w:color w:val="auto"/>
        </w:rPr>
        <w:t>应对载具出入园进行预约和排队叫号管理，调度载具有序进去园区并抵达作业场地，并采集6</w:t>
      </w:r>
      <w:r>
        <w:rPr>
          <w:color w:val="auto"/>
        </w:rPr>
        <w:t>.2</w:t>
      </w:r>
      <w:r>
        <w:rPr>
          <w:rFonts w:hint="eastAsia"/>
          <w:color w:val="auto"/>
        </w:rPr>
        <w:t>载具要素的信息。</w:t>
      </w:r>
    </w:p>
    <w:p>
      <w:pPr>
        <w:pStyle w:val="170"/>
        <w:rPr>
          <w:color w:val="auto"/>
        </w:rPr>
      </w:pPr>
      <w:r>
        <w:rPr>
          <w:rFonts w:hint="eastAsia"/>
          <w:color w:val="auto"/>
        </w:rPr>
        <w:t>应与物流园区通行管理系统、物流作业管理系统进行数据对接，并具有与全球定位系统等实现数据对接的技术能力。</w:t>
      </w:r>
    </w:p>
    <w:p>
      <w:pPr>
        <w:pStyle w:val="110"/>
        <w:spacing w:before="156" w:after="156"/>
        <w:rPr>
          <w:color w:val="auto"/>
        </w:rPr>
      </w:pPr>
      <w:bookmarkStart w:id="90" w:name="_Toc151721703"/>
      <w:r>
        <w:rPr>
          <w:rFonts w:hint="eastAsia"/>
          <w:color w:val="auto"/>
        </w:rPr>
        <w:t>资产管理活动的数字化</w:t>
      </w:r>
      <w:bookmarkEnd w:id="90"/>
    </w:p>
    <w:p>
      <w:pPr>
        <w:pStyle w:val="170"/>
        <w:rPr>
          <w:color w:val="auto"/>
        </w:rPr>
      </w:pPr>
      <w:r>
        <w:rPr>
          <w:rFonts w:hint="eastAsia"/>
          <w:color w:val="auto"/>
        </w:rPr>
        <w:t>应建立资产管理系统，对资产信息采集、识别和使用进行管理，并对异常情况进行识别和即时报警。</w:t>
      </w:r>
    </w:p>
    <w:p>
      <w:pPr>
        <w:pStyle w:val="170"/>
        <w:rPr>
          <w:color w:val="auto"/>
        </w:rPr>
      </w:pPr>
      <w:r>
        <w:rPr>
          <w:rFonts w:hint="eastAsia"/>
          <w:color w:val="auto"/>
        </w:rPr>
        <w:t>应采集</w:t>
      </w:r>
      <w:r>
        <w:rPr>
          <w:color w:val="auto"/>
        </w:rPr>
        <w:t>6.4</w:t>
      </w:r>
      <w:r>
        <w:rPr>
          <w:rFonts w:hint="eastAsia"/>
          <w:color w:val="auto"/>
        </w:rPr>
        <w:t>中场地要素的信息，对建筑设施和场站等资产进行定期盘点和检查。</w:t>
      </w:r>
    </w:p>
    <w:p>
      <w:pPr>
        <w:pStyle w:val="170"/>
        <w:rPr>
          <w:color w:val="auto"/>
        </w:rPr>
      </w:pPr>
      <w:r>
        <w:rPr>
          <w:rFonts w:hint="eastAsia"/>
          <w:color w:val="auto"/>
        </w:rPr>
        <w:t>应采集6.3中货物要素的信息，定期核查园区仓库中货物存储情况。</w:t>
      </w:r>
    </w:p>
    <w:p>
      <w:pPr>
        <w:pStyle w:val="170"/>
        <w:rPr>
          <w:color w:val="auto"/>
        </w:rPr>
      </w:pPr>
      <w:r>
        <w:rPr>
          <w:rFonts w:hint="eastAsia"/>
          <w:color w:val="auto"/>
        </w:rPr>
        <w:t>应进行设施设备状态监测，能实时采集相关数据、展示运行状态。</w:t>
      </w:r>
    </w:p>
    <w:p>
      <w:pPr>
        <w:pStyle w:val="170"/>
        <w:rPr>
          <w:color w:val="auto"/>
        </w:rPr>
      </w:pPr>
      <w:r>
        <w:rPr>
          <w:rFonts w:hint="eastAsia"/>
          <w:color w:val="auto"/>
        </w:rPr>
        <w:t>应对物流园区内设施设备的厂家、型号、序列号、网络参数、系统接口等数据信息实现集中管理，并与物流园区其他管理功能子系统实现联网。</w:t>
      </w:r>
    </w:p>
    <w:p>
      <w:pPr>
        <w:pStyle w:val="110"/>
        <w:spacing w:before="156" w:after="156"/>
        <w:rPr>
          <w:color w:val="auto"/>
        </w:rPr>
      </w:pPr>
      <w:bookmarkStart w:id="91" w:name="_Toc151721704"/>
      <w:r>
        <w:rPr>
          <w:rFonts w:hint="eastAsia"/>
          <w:color w:val="auto"/>
        </w:rPr>
        <w:t>能源管理活动的数字化</w:t>
      </w:r>
      <w:bookmarkEnd w:id="91"/>
    </w:p>
    <w:p>
      <w:pPr>
        <w:pStyle w:val="170"/>
        <w:rPr>
          <w:color w:val="auto"/>
        </w:rPr>
      </w:pPr>
      <w:r>
        <w:rPr>
          <w:rFonts w:hint="eastAsia"/>
          <w:color w:val="auto"/>
        </w:rPr>
        <w:t>应建立能源管理系统，对能源信息采集、识别和使用进行管理，并对异常情况进行识别和即时报警。</w:t>
      </w:r>
    </w:p>
    <w:p>
      <w:pPr>
        <w:pStyle w:val="170"/>
        <w:rPr>
          <w:color w:val="auto"/>
        </w:rPr>
      </w:pPr>
      <w:r>
        <w:rPr>
          <w:rFonts w:hint="eastAsia"/>
          <w:color w:val="auto"/>
        </w:rPr>
        <w:t>应使用物联网类计量设备，实时采集园区电力、汽油、柴油、天然气、热力、水等能耗数据，并实现数据信息的集中管理。</w:t>
      </w:r>
    </w:p>
    <w:p>
      <w:pPr>
        <w:pStyle w:val="170"/>
        <w:rPr>
          <w:color w:val="auto"/>
        </w:rPr>
      </w:pPr>
      <w:r>
        <w:rPr>
          <w:rFonts w:hint="eastAsia"/>
          <w:color w:val="auto"/>
        </w:rPr>
        <w:t>应能实现能源集中监控和在线实时展示。</w:t>
      </w:r>
    </w:p>
    <w:p>
      <w:pPr>
        <w:pStyle w:val="110"/>
        <w:spacing w:before="156" w:after="156"/>
        <w:rPr>
          <w:color w:val="auto"/>
        </w:rPr>
      </w:pPr>
      <w:bookmarkStart w:id="92" w:name="_Toc151721705"/>
      <w:r>
        <w:rPr>
          <w:rFonts w:hint="eastAsia"/>
          <w:color w:val="auto"/>
        </w:rPr>
        <w:t>安全管理活动的数字化</w:t>
      </w:r>
      <w:bookmarkEnd w:id="92"/>
    </w:p>
    <w:p>
      <w:pPr>
        <w:pStyle w:val="170"/>
        <w:rPr>
          <w:color w:val="auto"/>
        </w:rPr>
      </w:pPr>
      <w:r>
        <w:rPr>
          <w:rFonts w:hint="eastAsia"/>
          <w:color w:val="auto"/>
        </w:rPr>
        <w:t>应建立安全管理系统，对安全信息采集、识别和使用进行管理，并对异常情况进行识别和即时报警。</w:t>
      </w:r>
    </w:p>
    <w:p>
      <w:pPr>
        <w:pStyle w:val="170"/>
        <w:rPr>
          <w:color w:val="auto"/>
        </w:rPr>
      </w:pPr>
      <w:r>
        <w:rPr>
          <w:rFonts w:hint="eastAsia"/>
          <w:color w:val="auto"/>
        </w:rPr>
        <w:t>应在作业场所配置监控设备，实时采集</w:t>
      </w:r>
      <w:r>
        <w:rPr>
          <w:color w:val="auto"/>
        </w:rPr>
        <w:t>6.1</w:t>
      </w:r>
      <w:r>
        <w:rPr>
          <w:rFonts w:hint="eastAsia"/>
          <w:color w:val="auto"/>
        </w:rPr>
        <w:t>人员要素的信息和</w:t>
      </w:r>
      <w:r>
        <w:rPr>
          <w:color w:val="auto"/>
        </w:rPr>
        <w:t>6.2</w:t>
      </w:r>
      <w:r>
        <w:rPr>
          <w:rFonts w:hint="eastAsia"/>
          <w:color w:val="auto"/>
        </w:rPr>
        <w:t>载具要素的信息。</w:t>
      </w:r>
    </w:p>
    <w:p>
      <w:pPr>
        <w:pStyle w:val="170"/>
        <w:rPr>
          <w:color w:val="auto"/>
        </w:rPr>
      </w:pPr>
      <w:r>
        <w:rPr>
          <w:rFonts w:hint="eastAsia"/>
          <w:color w:val="auto"/>
        </w:rPr>
        <w:t>应采集</w:t>
      </w:r>
      <w:r>
        <w:rPr>
          <w:color w:val="auto"/>
        </w:rPr>
        <w:t>6.6</w:t>
      </w:r>
      <w:r>
        <w:rPr>
          <w:rFonts w:hint="eastAsia"/>
          <w:color w:val="auto"/>
        </w:rPr>
        <w:t>环境要素的信息，对潜在灾害进行评估、预警和处置。</w:t>
      </w:r>
    </w:p>
    <w:p>
      <w:pPr>
        <w:pStyle w:val="170"/>
        <w:rPr>
          <w:color w:val="auto"/>
        </w:rPr>
      </w:pPr>
      <w:r>
        <w:rPr>
          <w:rFonts w:hint="eastAsia"/>
          <w:color w:val="auto"/>
        </w:rPr>
        <w:t>应在消防控制点配置红外热感、烟感等传感设备，识别消防隐患和危险，并与消防设备联动。</w:t>
      </w:r>
    </w:p>
    <w:p>
      <w:pPr>
        <w:pStyle w:val="170"/>
        <w:rPr>
          <w:color w:val="auto"/>
        </w:rPr>
      </w:pPr>
      <w:r>
        <w:rPr>
          <w:rFonts w:hint="eastAsia"/>
          <w:color w:val="auto"/>
        </w:rPr>
        <w:t>应实时监控园区空气质量、供水质量和排水质量情况，对异常情况进行实时报警和处理。</w:t>
      </w:r>
    </w:p>
    <w:p>
      <w:pPr>
        <w:pStyle w:val="170"/>
        <w:rPr>
          <w:color w:val="auto"/>
        </w:rPr>
      </w:pPr>
      <w:r>
        <w:rPr>
          <w:rFonts w:hint="eastAsia"/>
          <w:color w:val="auto"/>
        </w:rPr>
        <w:t>应实时监控园区内危化品，对异常情况进行实时报警和处理。</w:t>
      </w:r>
    </w:p>
    <w:p>
      <w:pPr>
        <w:pStyle w:val="170"/>
        <w:rPr>
          <w:color w:val="auto"/>
        </w:rPr>
      </w:pPr>
      <w:r>
        <w:rPr>
          <w:rFonts w:hint="eastAsia"/>
          <w:color w:val="auto"/>
        </w:rPr>
        <w:t>应配置巡检设备，对异常闯入、偷盗等情况实时报警。</w:t>
      </w:r>
    </w:p>
    <w:p>
      <w:pPr>
        <w:pStyle w:val="170"/>
        <w:rPr>
          <w:color w:val="auto"/>
        </w:rPr>
      </w:pPr>
      <w:r>
        <w:rPr>
          <w:rFonts w:hint="eastAsia"/>
          <w:color w:val="auto"/>
        </w:rPr>
        <w:t>应实现与公安个人信息查询系统、物流园区其他业务管理系统的有效对接。</w:t>
      </w:r>
    </w:p>
    <w:p>
      <w:pPr>
        <w:pStyle w:val="110"/>
        <w:spacing w:before="156" w:after="156"/>
        <w:rPr>
          <w:color w:val="auto"/>
        </w:rPr>
      </w:pPr>
      <w:bookmarkStart w:id="93" w:name="_Toc151721706"/>
      <w:r>
        <w:rPr>
          <w:rFonts w:hint="eastAsia"/>
          <w:color w:val="auto"/>
        </w:rPr>
        <w:t>碳管理活动的数字化</w:t>
      </w:r>
      <w:bookmarkEnd w:id="93"/>
    </w:p>
    <w:p>
      <w:pPr>
        <w:pStyle w:val="170"/>
        <w:rPr>
          <w:color w:val="auto"/>
        </w:rPr>
      </w:pPr>
      <w:r>
        <w:rPr>
          <w:rFonts w:hint="eastAsia"/>
          <w:color w:val="auto"/>
        </w:rPr>
        <w:t>宜建立碳管理系统，对碳排放信息采集、识别和使用进行管理，并对异常情况进行识别和即时报警。</w:t>
      </w:r>
    </w:p>
    <w:p>
      <w:pPr>
        <w:pStyle w:val="170"/>
        <w:rPr>
          <w:color w:val="auto"/>
        </w:rPr>
      </w:pPr>
      <w:r>
        <w:rPr>
          <w:rFonts w:hint="eastAsia"/>
          <w:color w:val="auto"/>
        </w:rPr>
        <w:t>碳管理系统应对接业务、财务和资产管理等系统，统计货物吞吐量、营收、园区面积等数据信息并给出单位货物吞吐量、单位营收、单位园区面积的碳排放强度指标。</w:t>
      </w:r>
    </w:p>
    <w:p>
      <w:pPr>
        <w:pStyle w:val="170"/>
        <w:rPr>
          <w:color w:val="auto"/>
        </w:rPr>
      </w:pPr>
      <w:r>
        <w:rPr>
          <w:rFonts w:hint="eastAsia"/>
          <w:color w:val="auto"/>
        </w:rPr>
        <w:t>碳管理系统应具备生成碳排放的数据和报告的能力。</w:t>
      </w:r>
    </w:p>
    <w:p>
      <w:pPr>
        <w:pStyle w:val="110"/>
        <w:spacing w:before="156" w:after="156"/>
        <w:rPr>
          <w:color w:val="auto"/>
        </w:rPr>
      </w:pPr>
      <w:bookmarkStart w:id="94" w:name="_Toc151721707"/>
      <w:r>
        <w:rPr>
          <w:rFonts w:hint="eastAsia"/>
          <w:color w:val="auto"/>
        </w:rPr>
        <w:t>数据管理</w:t>
      </w:r>
      <w:bookmarkEnd w:id="94"/>
    </w:p>
    <w:p>
      <w:pPr>
        <w:pStyle w:val="170"/>
        <w:rPr>
          <w:color w:val="auto"/>
        </w:rPr>
      </w:pPr>
      <w:r>
        <w:rPr>
          <w:rFonts w:hint="eastAsia"/>
          <w:color w:val="auto"/>
        </w:rPr>
        <w:t>应建立数据管理系统，对数据进行集中管理。</w:t>
      </w:r>
    </w:p>
    <w:p>
      <w:pPr>
        <w:pStyle w:val="170"/>
        <w:rPr>
          <w:color w:val="auto"/>
        </w:rPr>
      </w:pPr>
      <w:r>
        <w:rPr>
          <w:rFonts w:hint="eastAsia"/>
          <w:color w:val="auto"/>
        </w:rPr>
        <w:t>应制定各类数据格式规范，按格式规范采集数据。</w:t>
      </w:r>
    </w:p>
    <w:p>
      <w:pPr>
        <w:pStyle w:val="170"/>
        <w:rPr>
          <w:color w:val="auto"/>
        </w:rPr>
      </w:pPr>
      <w:r>
        <w:rPr>
          <w:rFonts w:hint="eastAsia"/>
          <w:color w:val="auto"/>
        </w:rPr>
        <w:t>应建立数据管理平台，集中存储和处理各类数据，实现数据本地化存储和处理或者云存储和处理。</w:t>
      </w:r>
    </w:p>
    <w:p>
      <w:pPr>
        <w:pStyle w:val="170"/>
        <w:rPr>
          <w:color w:val="auto"/>
        </w:rPr>
      </w:pPr>
      <w:r>
        <w:rPr>
          <w:rFonts w:hint="eastAsia"/>
          <w:color w:val="auto"/>
        </w:rPr>
        <w:t>宜针对不同管理需求开发智能算法，智能化处理数据，为管理者输出所需处理结果。</w:t>
      </w:r>
    </w:p>
    <w:p>
      <w:pPr>
        <w:pStyle w:val="170"/>
        <w:rPr>
          <w:color w:val="auto"/>
        </w:rPr>
      </w:pPr>
      <w:r>
        <w:rPr>
          <w:rFonts w:hint="eastAsia"/>
          <w:color w:val="auto"/>
        </w:rPr>
        <w:t>应对关键数据进行备份，可快速进行数据恢复。</w:t>
      </w:r>
    </w:p>
    <w:p>
      <w:pPr>
        <w:pStyle w:val="170"/>
        <w:rPr>
          <w:color w:val="auto"/>
        </w:rPr>
      </w:pPr>
      <w:r>
        <w:rPr>
          <w:rFonts w:hint="eastAsia"/>
          <w:color w:val="auto"/>
        </w:rPr>
        <w:t>应设置系统防火墙，记录数据操作日志。</w:t>
      </w:r>
    </w:p>
    <w:p>
      <w:pPr>
        <w:pStyle w:val="109"/>
        <w:spacing w:before="312" w:after="312"/>
        <w:rPr>
          <w:color w:val="auto"/>
        </w:rPr>
      </w:pPr>
      <w:bookmarkStart w:id="95" w:name="_Toc151721708"/>
      <w:bookmarkStart w:id="96" w:name="_Hlk149130705"/>
      <w:r>
        <w:rPr>
          <w:rFonts w:hint="eastAsia"/>
          <w:color w:val="auto"/>
        </w:rPr>
        <w:t>物流园区数字化的保障要求</w:t>
      </w:r>
      <w:bookmarkEnd w:id="95"/>
    </w:p>
    <w:p>
      <w:pPr>
        <w:pStyle w:val="110"/>
        <w:spacing w:before="156" w:after="156"/>
        <w:rPr>
          <w:color w:val="auto"/>
        </w:rPr>
      </w:pPr>
      <w:bookmarkStart w:id="97" w:name="_Toc151721709"/>
      <w:r>
        <w:rPr>
          <w:rFonts w:hint="eastAsia"/>
          <w:color w:val="auto"/>
        </w:rPr>
        <w:t>平台</w:t>
      </w:r>
      <w:bookmarkEnd w:id="97"/>
    </w:p>
    <w:p>
      <w:pPr>
        <w:pStyle w:val="70"/>
        <w:spacing w:before="156" w:after="156"/>
        <w:rPr>
          <w:color w:val="auto"/>
        </w:rPr>
      </w:pPr>
      <w:r>
        <w:rPr>
          <w:rFonts w:hint="eastAsia"/>
          <w:color w:val="auto"/>
        </w:rPr>
        <w:t>平台架构</w:t>
      </w:r>
    </w:p>
    <w:p>
      <w:pPr>
        <w:pStyle w:val="61"/>
        <w:ind w:firstLine="420"/>
        <w:rPr>
          <w:color w:val="auto"/>
        </w:rPr>
      </w:pPr>
      <w:r>
        <w:rPr>
          <w:rFonts w:hint="eastAsia"/>
          <w:color w:val="auto"/>
        </w:rPr>
        <w:t>物流园区数字化管理平台架构包括终端感知层</w:t>
      </w:r>
      <w:r>
        <w:rPr>
          <w:rFonts w:hint="eastAsia"/>
          <w:color w:val="auto"/>
        </w:rPr>
        <w:t>、网络连接层、数据处理层和管理决策层。</w:t>
      </w:r>
    </w:p>
    <w:p>
      <w:pPr>
        <w:pStyle w:val="70"/>
        <w:spacing w:before="156" w:after="156"/>
        <w:rPr>
          <w:color w:val="auto"/>
        </w:rPr>
      </w:pPr>
      <w:r>
        <w:rPr>
          <w:rFonts w:hint="eastAsia"/>
          <w:color w:val="auto"/>
        </w:rPr>
        <w:t>终端感知层</w:t>
      </w:r>
    </w:p>
    <w:p>
      <w:pPr>
        <w:pStyle w:val="61"/>
        <w:ind w:firstLine="420"/>
        <w:rPr>
          <w:color w:val="auto"/>
        </w:rPr>
      </w:pPr>
      <w:r>
        <w:rPr>
          <w:rFonts w:hint="eastAsia"/>
          <w:color w:val="auto"/>
        </w:rPr>
        <w:t>应基于识别技术以及传感设施和传感设备，以数字化形式获取物流园区各要素、各类终端的实时状态。</w:t>
      </w:r>
    </w:p>
    <w:p>
      <w:pPr>
        <w:pStyle w:val="70"/>
        <w:spacing w:before="156" w:after="156"/>
        <w:rPr>
          <w:color w:val="auto"/>
        </w:rPr>
      </w:pPr>
      <w:r>
        <w:rPr>
          <w:rFonts w:hint="eastAsia"/>
          <w:color w:val="auto"/>
        </w:rPr>
        <w:t>网络连接层</w:t>
      </w:r>
    </w:p>
    <w:p>
      <w:pPr>
        <w:pStyle w:val="61"/>
        <w:ind w:firstLine="420"/>
        <w:rPr>
          <w:color w:val="auto"/>
        </w:rPr>
      </w:pPr>
      <w:r>
        <w:rPr>
          <w:rFonts w:hint="eastAsia"/>
          <w:color w:val="auto"/>
        </w:rPr>
        <w:t>应基于无线或有线数据传输技术，由物流园区专网、边缘计算节点、运营商通信网络及通信设备等组成的数据传输网络，对数据进行标准和双向传输。</w:t>
      </w:r>
    </w:p>
    <w:p>
      <w:pPr>
        <w:pStyle w:val="70"/>
        <w:spacing w:before="156" w:after="156"/>
        <w:rPr>
          <w:color w:val="auto"/>
        </w:rPr>
      </w:pPr>
      <w:r>
        <w:rPr>
          <w:rFonts w:hint="eastAsia"/>
          <w:color w:val="auto"/>
        </w:rPr>
        <w:t>数据处理层</w:t>
      </w:r>
    </w:p>
    <w:p>
      <w:pPr>
        <w:pStyle w:val="170"/>
        <w:numPr>
          <w:ilvl w:val="0"/>
          <w:numId w:val="0"/>
        </w:numPr>
        <w:ind w:firstLine="420" w:firstLineChars="200"/>
        <w:rPr>
          <w:color w:val="auto"/>
        </w:rPr>
      </w:pPr>
      <w:r>
        <w:rPr>
          <w:rFonts w:hint="eastAsia"/>
          <w:color w:val="auto"/>
        </w:rPr>
        <w:t>应基于终端感知层和网络连接层获取的数据，采用本地服务器、云服务器等不同方式对各类数据进行分类、统一存储和处理，为管理系统的决策提供数据支撑。</w:t>
      </w:r>
    </w:p>
    <w:p>
      <w:pPr>
        <w:pStyle w:val="70"/>
        <w:spacing w:before="156" w:after="156"/>
        <w:rPr>
          <w:color w:val="auto"/>
        </w:rPr>
      </w:pPr>
      <w:r>
        <w:rPr>
          <w:rFonts w:hint="eastAsia"/>
          <w:color w:val="auto"/>
        </w:rPr>
        <w:t>管理决策层</w:t>
      </w:r>
    </w:p>
    <w:p>
      <w:pPr>
        <w:pStyle w:val="61"/>
        <w:ind w:firstLine="420"/>
        <w:rPr>
          <w:color w:val="auto"/>
        </w:rPr>
      </w:pPr>
      <w:r>
        <w:rPr>
          <w:rFonts w:hint="eastAsia"/>
          <w:color w:val="auto"/>
        </w:rPr>
        <w:t>应基于数据处理层产生的数据，根据物流园区数字化运营管理需求，利用物流园区管理系统对各模块数据进行数据交换、数据处理、智能决策分析、信息发布和可视化展示，并对设施设备进行实时管控。</w:t>
      </w:r>
    </w:p>
    <w:bookmarkEnd w:id="96"/>
    <w:p>
      <w:pPr>
        <w:pStyle w:val="110"/>
        <w:spacing w:before="156" w:after="156"/>
        <w:rPr>
          <w:color w:val="auto"/>
        </w:rPr>
      </w:pPr>
      <w:bookmarkStart w:id="98" w:name="_Toc151721710"/>
      <w:r>
        <w:rPr>
          <w:rFonts w:hint="eastAsia"/>
          <w:color w:val="auto"/>
        </w:rPr>
        <w:t>人员</w:t>
      </w:r>
      <w:bookmarkEnd w:id="98"/>
    </w:p>
    <w:p>
      <w:pPr>
        <w:pStyle w:val="170"/>
        <w:rPr>
          <w:color w:val="auto"/>
        </w:rPr>
      </w:pPr>
      <w:r>
        <w:rPr>
          <w:rFonts w:hint="eastAsia"/>
          <w:color w:val="auto"/>
        </w:rPr>
        <w:t>物流园区的</w:t>
      </w:r>
      <w:r>
        <w:rPr>
          <w:color w:val="auto"/>
        </w:rPr>
        <w:t>管理人员</w:t>
      </w:r>
      <w:r>
        <w:rPr>
          <w:rFonts w:hint="eastAsia"/>
          <w:color w:val="auto"/>
        </w:rPr>
        <w:t>应熟悉物流园区现场业务、设备管理、运作流程，并具备规划与统筹能力、决策与执行能力等。</w:t>
      </w:r>
    </w:p>
    <w:p>
      <w:pPr>
        <w:pStyle w:val="170"/>
        <w:rPr>
          <w:color w:val="auto"/>
        </w:rPr>
      </w:pPr>
      <w:r>
        <w:rPr>
          <w:rFonts w:hint="eastAsia"/>
          <w:color w:val="auto"/>
        </w:rPr>
        <w:t>物流园区的</w:t>
      </w:r>
      <w:r>
        <w:rPr>
          <w:color w:val="auto"/>
        </w:rPr>
        <w:t>现场操作人员</w:t>
      </w:r>
      <w:r>
        <w:rPr>
          <w:rFonts w:hint="eastAsia"/>
          <w:color w:val="auto"/>
        </w:rPr>
        <w:t>应通过智能设备操作培训，具有与相应岗位匹配的实操经验，并取得相关领域及行业认可的资格证书。对于特殊岗位的操作人员，在身体素质、心理素质等方面应符合相应岗位要求。</w:t>
      </w:r>
    </w:p>
    <w:p>
      <w:pPr>
        <w:pStyle w:val="170"/>
        <w:rPr>
          <w:color w:val="auto"/>
        </w:rPr>
      </w:pPr>
      <w:r>
        <w:rPr>
          <w:rFonts w:hint="eastAsia"/>
          <w:color w:val="auto"/>
        </w:rPr>
        <w:t>物流园区的设施设备维护人员应熟悉设施设备相关性能，具备对设施设备故障进行快速诊断和维修的能力。</w:t>
      </w:r>
    </w:p>
    <w:p>
      <w:pPr>
        <w:pStyle w:val="170"/>
        <w:rPr>
          <w:color w:val="auto"/>
        </w:rPr>
      </w:pPr>
      <w:r>
        <w:rPr>
          <w:rFonts w:hint="eastAsia"/>
          <w:color w:val="auto"/>
        </w:rPr>
        <w:t>物流园区的信息系统维护人员应能够及时处理信息系统发生的各类问题，定期对信息系统进行更新和改进，提出合理化的建议。</w:t>
      </w:r>
    </w:p>
    <w:p>
      <w:pPr>
        <w:pStyle w:val="110"/>
        <w:spacing w:before="156" w:after="156"/>
        <w:rPr>
          <w:color w:val="auto"/>
        </w:rPr>
      </w:pPr>
      <w:bookmarkStart w:id="99" w:name="_Toc151721711"/>
      <w:r>
        <w:rPr>
          <w:rFonts w:hint="eastAsia"/>
          <w:color w:val="auto"/>
        </w:rPr>
        <w:t>设施设备</w:t>
      </w:r>
      <w:bookmarkEnd w:id="99"/>
    </w:p>
    <w:p>
      <w:pPr>
        <w:pStyle w:val="170"/>
        <w:rPr>
          <w:color w:val="auto"/>
        </w:rPr>
      </w:pPr>
      <w:r>
        <w:rPr>
          <w:rFonts w:hint="eastAsia"/>
          <w:color w:val="auto"/>
        </w:rPr>
        <w:t>物流园区的电力、给排水、通讯、道路、消防和防汛等基础设施应符合</w:t>
      </w:r>
      <w:bookmarkStart w:id="100" w:name="_Hlk150421537"/>
      <w:r>
        <w:rPr>
          <w:rFonts w:hint="eastAsia"/>
          <w:color w:val="auto"/>
        </w:rPr>
        <w:t>GB∕T 21334</w:t>
      </w:r>
      <w:bookmarkEnd w:id="100"/>
      <w:r>
        <w:rPr>
          <w:rFonts w:hint="eastAsia"/>
          <w:color w:val="auto"/>
        </w:rPr>
        <w:t>的要求。</w:t>
      </w:r>
    </w:p>
    <w:p>
      <w:pPr>
        <w:pStyle w:val="170"/>
        <w:rPr>
          <w:color w:val="auto"/>
        </w:rPr>
      </w:pPr>
      <w:r>
        <w:rPr>
          <w:rFonts w:hint="eastAsia"/>
          <w:color w:val="auto"/>
        </w:rPr>
        <w:t>物流园区用于物流作业的设施设备应能满足物流作业数字化的需求。</w:t>
      </w:r>
    </w:p>
    <w:p>
      <w:pPr>
        <w:pStyle w:val="170"/>
        <w:rPr>
          <w:color w:val="auto"/>
        </w:rPr>
      </w:pPr>
      <w:r>
        <w:rPr>
          <w:rFonts w:hint="eastAsia"/>
          <w:color w:val="auto"/>
        </w:rPr>
        <w:t>物流园区应配备用于收集第6章中信息的设施设备，并能支撑物流园区要素和管理活动要素的数字化环节。</w:t>
      </w:r>
    </w:p>
    <w:p>
      <w:pPr>
        <w:pStyle w:val="170"/>
        <w:rPr>
          <w:color w:val="auto"/>
        </w:rPr>
      </w:pPr>
      <w:r>
        <w:rPr>
          <w:rFonts w:hint="eastAsia"/>
          <w:color w:val="auto"/>
        </w:rPr>
        <w:t>物流园区如有冷链运输、危化品存储等特殊需求，应配备满足这些需求的设施设备。</w:t>
      </w:r>
    </w:p>
    <w:p>
      <w:pPr>
        <w:pStyle w:val="110"/>
        <w:spacing w:before="156" w:after="156"/>
        <w:rPr>
          <w:color w:val="auto"/>
        </w:rPr>
      </w:pPr>
      <w:bookmarkStart w:id="101" w:name="_Toc151721712"/>
      <w:r>
        <w:rPr>
          <w:rFonts w:hint="eastAsia"/>
          <w:color w:val="auto"/>
        </w:rPr>
        <w:t>安全</w:t>
      </w:r>
      <w:bookmarkEnd w:id="101"/>
    </w:p>
    <w:p>
      <w:pPr>
        <w:pStyle w:val="170"/>
        <w:rPr>
          <w:color w:val="auto"/>
        </w:rPr>
      </w:pPr>
      <w:r>
        <w:rPr>
          <w:rFonts w:hint="eastAsia"/>
          <w:color w:val="auto"/>
        </w:rPr>
        <w:t>应制订物流园区数字化安全手册和安全责任书，从数据保存、数据追溯、数据备份、系统监控、异常报警等方面规范管理安全。</w:t>
      </w:r>
    </w:p>
    <w:p>
      <w:pPr>
        <w:pStyle w:val="170"/>
        <w:rPr>
          <w:color w:val="auto"/>
        </w:rPr>
      </w:pPr>
      <w:r>
        <w:rPr>
          <w:rFonts w:hint="eastAsia" w:ascii="Times New Roman"/>
          <w:color w:val="auto"/>
          <w:szCs w:val="21"/>
        </w:rPr>
        <w:t>应对物流园区的各类安全隐患进行定期排查</w:t>
      </w:r>
      <w:r>
        <w:rPr>
          <w:rFonts w:hint="eastAsia"/>
          <w:color w:val="auto"/>
        </w:rPr>
        <w:t>。</w:t>
      </w:r>
    </w:p>
    <w:p>
      <w:pPr>
        <w:pStyle w:val="170"/>
        <w:rPr>
          <w:color w:val="auto"/>
        </w:rPr>
      </w:pPr>
      <w:r>
        <w:rPr>
          <w:rFonts w:hint="eastAsia"/>
          <w:color w:val="auto"/>
        </w:rPr>
        <w:t>应保证信息收集的合法性、安全性，并保护商业机密和个人隐私。</w:t>
      </w:r>
    </w:p>
    <w:p>
      <w:pPr>
        <w:pStyle w:val="110"/>
        <w:spacing w:before="156" w:after="156"/>
        <w:rPr>
          <w:color w:val="auto"/>
        </w:rPr>
      </w:pPr>
      <w:bookmarkStart w:id="102" w:name="_Toc151721713"/>
      <w:r>
        <w:rPr>
          <w:rFonts w:hint="eastAsia"/>
          <w:color w:val="auto"/>
        </w:rPr>
        <w:t>应急</w:t>
      </w:r>
      <w:bookmarkEnd w:id="102"/>
    </w:p>
    <w:p>
      <w:pPr>
        <w:pStyle w:val="170"/>
        <w:rPr>
          <w:color w:val="auto"/>
        </w:rPr>
      </w:pPr>
      <w:r>
        <w:rPr>
          <w:rFonts w:hint="eastAsia"/>
          <w:color w:val="auto"/>
        </w:rPr>
        <w:t>应制订物流园区数字化应急预案，对涉及物流园区要素、管理活动要素和数字化环节要素的可能异常制定解决措施、解决时限。</w:t>
      </w:r>
    </w:p>
    <w:p>
      <w:pPr>
        <w:pStyle w:val="170"/>
        <w:rPr>
          <w:color w:val="auto"/>
        </w:rPr>
      </w:pPr>
      <w:r>
        <w:rPr>
          <w:rFonts w:hint="eastAsia"/>
          <w:color w:val="auto"/>
        </w:rPr>
        <w:t>应考虑人员的突发事件、设施设备可能的故障异常，进行针对性预案，必要时应设置冗余备份，进行及时替补或切换。</w:t>
      </w:r>
    </w:p>
    <w:p>
      <w:pPr>
        <w:pStyle w:val="170"/>
        <w:rPr>
          <w:color w:val="auto"/>
        </w:rPr>
      </w:pPr>
      <w:r>
        <w:rPr>
          <w:rFonts w:hint="eastAsia"/>
          <w:color w:val="auto"/>
        </w:rPr>
        <w:t>应考虑系统可能的故障异常，做好预案措施。</w:t>
      </w:r>
    </w:p>
    <w:p>
      <w:pPr>
        <w:pStyle w:val="170"/>
        <w:rPr>
          <w:color w:val="auto"/>
        </w:rPr>
      </w:pPr>
      <w:r>
        <w:rPr>
          <w:rFonts w:hint="eastAsia"/>
          <w:color w:val="auto"/>
        </w:rPr>
        <w:t>应考虑应用的具体数字化技术的异常情况，并制定解决措施。</w:t>
      </w:r>
    </w:p>
    <w:p>
      <w:pPr>
        <w:rPr>
          <w:color w:val="auto"/>
        </w:rPr>
      </w:pPr>
      <w:r>
        <w:rPr>
          <w:color w:val="auto"/>
        </w:rPr>
        <w:br w:type="page"/>
      </w:r>
    </w:p>
    <w:bookmarkEnd w:id="24"/>
    <w:p>
      <w:pPr>
        <w:pStyle w:val="68"/>
        <w:spacing w:before="124" w:after="156"/>
        <w:rPr>
          <w:color w:val="auto"/>
        </w:rPr>
      </w:pPr>
      <w:bookmarkStart w:id="103" w:name="_Toc151721714"/>
      <w:bookmarkStart w:id="104" w:name="BookMark6"/>
      <w:r>
        <w:rPr>
          <w:rFonts w:hint="eastAsia"/>
          <w:color w:val="auto"/>
          <w:spacing w:val="105"/>
        </w:rPr>
        <w:t>参考文</w:t>
      </w:r>
      <w:r>
        <w:rPr>
          <w:rFonts w:hint="eastAsia"/>
          <w:color w:val="auto"/>
        </w:rPr>
        <w:t>献</w:t>
      </w:r>
      <w:bookmarkEnd w:id="103"/>
    </w:p>
    <w:p>
      <w:pPr>
        <w:pStyle w:val="61"/>
        <w:ind w:firstLine="420"/>
        <w:rPr>
          <w:color w:val="auto"/>
        </w:rPr>
      </w:pPr>
      <w:r>
        <w:rPr>
          <w:color w:val="auto"/>
        </w:rPr>
        <w:t xml:space="preserve">[1] </w:t>
      </w:r>
      <w:r>
        <w:rPr>
          <w:rFonts w:hint="eastAsia"/>
          <w:color w:val="auto"/>
        </w:rPr>
        <w:t>GB/T 9387.1-2008信息技术 开放系统互连 基本参考模型 第1部分:基本模型</w:t>
      </w:r>
    </w:p>
    <w:p>
      <w:pPr>
        <w:pStyle w:val="61"/>
        <w:ind w:firstLine="420"/>
        <w:rPr>
          <w:color w:val="auto"/>
        </w:rPr>
      </w:pPr>
      <w:bookmarkStart w:id="105" w:name="_Hlk132875787"/>
      <w:r>
        <w:rPr>
          <w:rFonts w:hint="eastAsia"/>
          <w:color w:val="auto"/>
        </w:rPr>
        <w:t>[</w:t>
      </w:r>
      <w:r>
        <w:rPr>
          <w:color w:val="auto"/>
        </w:rPr>
        <w:t xml:space="preserve">2] GB/T 19114.44-2012 </w:t>
      </w:r>
      <w:r>
        <w:rPr>
          <w:rFonts w:hint="eastAsia"/>
          <w:color w:val="auto"/>
        </w:rPr>
        <w:t>工业自动化系统与集成 工业制造管理数据 第44部分：车间级数据采集的信息建模</w:t>
      </w:r>
    </w:p>
    <w:p>
      <w:pPr>
        <w:pStyle w:val="61"/>
        <w:ind w:firstLine="420"/>
        <w:rPr>
          <w:color w:val="auto"/>
        </w:rPr>
      </w:pPr>
      <w:r>
        <w:rPr>
          <w:rFonts w:hint="eastAsia"/>
          <w:color w:val="auto"/>
        </w:rPr>
        <w:t>[</w:t>
      </w:r>
      <w:r>
        <w:rPr>
          <w:color w:val="auto"/>
        </w:rPr>
        <w:t>4] GB/T 36345-2018</w:t>
      </w:r>
      <w:r>
        <w:rPr>
          <w:rFonts w:hint="eastAsia"/>
          <w:color w:val="auto"/>
        </w:rPr>
        <w:t xml:space="preserve"> 信息技术 通用数据导入接口</w:t>
      </w:r>
    </w:p>
    <w:p>
      <w:pPr>
        <w:pStyle w:val="61"/>
        <w:ind w:firstLine="420"/>
        <w:rPr>
          <w:color w:val="auto"/>
        </w:rPr>
      </w:pPr>
      <w:r>
        <w:rPr>
          <w:rFonts w:hint="eastAsia"/>
          <w:color w:val="auto"/>
        </w:rPr>
        <w:t>[</w:t>
      </w:r>
      <w:r>
        <w:rPr>
          <w:color w:val="auto"/>
        </w:rPr>
        <w:t xml:space="preserve">5] GB/T 42019-2022 </w:t>
      </w:r>
      <w:r>
        <w:rPr>
          <w:rFonts w:hint="eastAsia"/>
          <w:color w:val="auto"/>
        </w:rPr>
        <w:t>基于时间敏感技术的宽带工业总线AUTBUS 系统架构与通信规范</w:t>
      </w:r>
    </w:p>
    <w:p>
      <w:pPr>
        <w:pStyle w:val="61"/>
        <w:ind w:firstLine="420"/>
        <w:rPr>
          <w:color w:val="auto"/>
        </w:rPr>
      </w:pPr>
      <w:r>
        <w:rPr>
          <w:color w:val="auto"/>
        </w:rPr>
        <w:t xml:space="preserve">[6] </w:t>
      </w:r>
      <w:r>
        <w:rPr>
          <w:rFonts w:hint="eastAsia"/>
          <w:color w:val="auto"/>
        </w:rPr>
        <w:t>GB/T 42037-2022空间数据与信息传输系统 参考体系架构</w:t>
      </w:r>
    </w:p>
    <w:p>
      <w:pPr>
        <w:pStyle w:val="61"/>
        <w:ind w:firstLine="420"/>
        <w:rPr>
          <w:color w:val="auto"/>
        </w:rPr>
      </w:pPr>
      <w:r>
        <w:rPr>
          <w:rFonts w:hint="eastAsia"/>
          <w:color w:val="auto"/>
        </w:rPr>
        <w:t>[</w:t>
      </w:r>
      <w:r>
        <w:rPr>
          <w:color w:val="auto"/>
        </w:rPr>
        <w:t>7]</w:t>
      </w:r>
      <w:r>
        <w:rPr>
          <w:rFonts w:hint="eastAsia"/>
          <w:color w:val="auto"/>
        </w:rPr>
        <w:t xml:space="preserve"> GB/T </w:t>
      </w:r>
      <w:r>
        <w:rPr>
          <w:color w:val="auto"/>
        </w:rPr>
        <w:t>42127-2022</w:t>
      </w:r>
      <w:r>
        <w:rPr>
          <w:rFonts w:hint="eastAsia"/>
          <w:color w:val="auto"/>
        </w:rPr>
        <w:t xml:space="preserve"> 智能制造 工业数据 采集规范</w:t>
      </w:r>
    </w:p>
    <w:p>
      <w:pPr>
        <w:pStyle w:val="61"/>
        <w:ind w:firstLine="420"/>
        <w:rPr>
          <w:color w:val="auto"/>
        </w:rPr>
      </w:pPr>
      <w:r>
        <w:rPr>
          <w:rFonts w:hint="eastAsia"/>
          <w:color w:val="auto"/>
        </w:rPr>
        <w:t>[</w:t>
      </w:r>
      <w:r>
        <w:rPr>
          <w:color w:val="auto"/>
        </w:rPr>
        <w:t>8]</w:t>
      </w:r>
      <w:bookmarkStart w:id="107" w:name="_GoBack"/>
      <w:r>
        <w:rPr>
          <w:color w:val="auto"/>
        </w:rPr>
        <w:t xml:space="preserve"> T/ZAII 015-2019</w:t>
      </w:r>
      <w:bookmarkEnd w:id="107"/>
      <w:r>
        <w:rPr>
          <w:color w:val="auto"/>
        </w:rPr>
        <w:t xml:space="preserve"> </w:t>
      </w:r>
      <w:r>
        <w:rPr>
          <w:rFonts w:hint="eastAsia"/>
          <w:color w:val="auto"/>
        </w:rPr>
        <w:t>数字化小微企业园建设运营通用要求</w:t>
      </w:r>
    </w:p>
    <w:bookmarkEnd w:id="104"/>
    <w:bookmarkEnd w:id="105"/>
    <w:p>
      <w:pPr>
        <w:pStyle w:val="61"/>
        <w:ind w:firstLine="0" w:firstLineChars="0"/>
        <w:jc w:val="center"/>
        <w:rPr>
          <w:color w:val="auto"/>
        </w:rPr>
      </w:pPr>
      <w:bookmarkStart w:id="106" w:name="BookMark8"/>
      <w:r>
        <w:rPr>
          <w:color w:val="auto"/>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06"/>
    </w:p>
    <w:sectPr>
      <w:pgSz w:w="11906" w:h="16838"/>
      <w:pgMar w:top="2410"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fldChar w:fldCharType="begin"/>
    </w:r>
    <w:r>
      <w:instrText xml:space="preserve">PAGE   \* MERGEFORMAT</w:instrText>
    </w:r>
    <w:r>
      <w:fldChar w:fldCharType="separate"/>
    </w:r>
    <w:r>
      <w:rPr>
        <w:lang w:val="zh-CN"/>
      </w:rPr>
      <w:t>II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spacing w:after="0"/>
    </w:pPr>
    <w:r>
      <w:fldChar w:fldCharType="begin"/>
    </w:r>
    <w:r>
      <w:instrText xml:space="preserve"> STYLEREF  标准文件_文件编号  \* MERGEFORMAT </w:instrText>
    </w:r>
    <w:r>
      <w:fldChar w:fldCharType="separate"/>
    </w:r>
    <w:r>
      <w:t>GB/T XXXXX—XXXX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fldChar w:fldCharType="begin"/>
    </w:r>
    <w:r>
      <w:instrText xml:space="preserve"> STYLEREF  标准文件_文件编号  \* MERGEFORMAT </w:instrText>
    </w:r>
    <w:r>
      <w:fldChar w:fldCharType="separate"/>
    </w:r>
    <w:r>
      <w:t>GB/T 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9"/>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4"/>
      <w:suff w:val="nothing"/>
      <w:lvlText w:val="%1%2.%3　"/>
      <w:lvlJc w:val="left"/>
      <w:pPr>
        <w:ind w:left="0" w:firstLine="0"/>
      </w:pPr>
      <w:rPr>
        <w:rFonts w:ascii="黑体" w:hAnsi="黑体" w:eastAsia="黑体"/>
      </w:rPr>
    </w:lvl>
    <w:lvl w:ilvl="3" w:tentative="0">
      <w:start w:val="1"/>
      <w:numFmt w:val="decimal"/>
      <w:pStyle w:val="123"/>
      <w:suff w:val="nothing"/>
      <w:lvlText w:val="%1%2.%3.%4　"/>
      <w:lvlJc w:val="left"/>
      <w:pPr>
        <w:ind w:left="0" w:firstLine="0"/>
      </w:pPr>
    </w:lvl>
    <w:lvl w:ilvl="4" w:tentative="0">
      <w:start w:val="1"/>
      <w:numFmt w:val="decimal"/>
      <w:pStyle w:val="158"/>
      <w:suff w:val="nothing"/>
      <w:lvlText w:val="%1%2.%3.%4.%5　"/>
      <w:lvlJc w:val="left"/>
      <w:pPr>
        <w:ind w:left="0" w:firstLine="0"/>
      </w:pPr>
    </w:lvl>
    <w:lvl w:ilvl="5" w:tentative="0">
      <w:start w:val="1"/>
      <w:numFmt w:val="decimal"/>
      <w:pStyle w:val="160"/>
      <w:suff w:val="nothing"/>
      <w:lvlText w:val="%1%2.%3.%4.%5.%6　"/>
      <w:lvlJc w:val="left"/>
      <w:pPr>
        <w:ind w:left="0" w:firstLine="0"/>
      </w:pPr>
    </w:lvl>
    <w:lvl w:ilvl="6" w:tentative="0">
      <w:start w:val="1"/>
      <w:numFmt w:val="decimal"/>
      <w:pStyle w:val="163"/>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5"/>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4"/>
      <w:lvlText w:val="%1"/>
      <w:lvlJc w:val="left"/>
      <w:pPr>
        <w:ind w:left="425" w:hanging="425"/>
      </w:pPr>
      <w:rPr>
        <w:rFonts w:hint="eastAsia"/>
      </w:rPr>
    </w:lvl>
    <w:lvl w:ilvl="1" w:tentative="0">
      <w:start w:val="1"/>
      <w:numFmt w:val="decimal"/>
      <w:pStyle w:val="205"/>
      <w:suff w:val="nothing"/>
      <w:lvlText w:val="%10.%2 "/>
      <w:lvlJc w:val="left"/>
      <w:pPr>
        <w:ind w:left="0" w:firstLine="0"/>
      </w:pPr>
      <w:rPr>
        <w:rFonts w:hint="eastAsia" w:ascii="黑体" w:eastAsia="黑体" w:hAnsiTheme="minorHAnsi"/>
        <w:b w:val="0"/>
        <w:i w:val="0"/>
        <w:sz w:val="21"/>
      </w:rPr>
    </w:lvl>
    <w:lvl w:ilvl="2" w:tentative="0">
      <w:start w:val="1"/>
      <w:numFmt w:val="decimal"/>
      <w:pStyle w:val="206"/>
      <w:suff w:val="nothing"/>
      <w:lvlText w:val="%10.%2.%3 "/>
      <w:lvlJc w:val="left"/>
      <w:pPr>
        <w:ind w:left="0" w:firstLine="0"/>
      </w:pPr>
      <w:rPr>
        <w:rFonts w:hint="eastAsia" w:ascii="黑体" w:eastAsia="黑体" w:hAnsiTheme="minorHAnsi"/>
        <w:b w:val="0"/>
        <w:i w:val="0"/>
        <w:sz w:val="21"/>
      </w:rPr>
    </w:lvl>
    <w:lvl w:ilvl="3" w:tentative="0">
      <w:start w:val="1"/>
      <w:numFmt w:val="decimal"/>
      <w:pStyle w:val="207"/>
      <w:suff w:val="nothing"/>
      <w:lvlText w:val="%10.%2.%3.%4 "/>
      <w:lvlJc w:val="left"/>
      <w:pPr>
        <w:ind w:left="0" w:firstLine="0"/>
      </w:pPr>
      <w:rPr>
        <w:rFonts w:hint="eastAsia" w:ascii="黑体" w:eastAsia="黑体" w:hAnsiTheme="minorHAnsi"/>
        <w:b w:val="0"/>
        <w:i w:val="0"/>
        <w:sz w:val="21"/>
      </w:rPr>
    </w:lvl>
    <w:lvl w:ilvl="4" w:tentative="0">
      <w:start w:val="1"/>
      <w:numFmt w:val="decimal"/>
      <w:pStyle w:val="208"/>
      <w:suff w:val="nothing"/>
      <w:lvlText w:val="%10.%2.%3.%4.%5 "/>
      <w:lvlJc w:val="left"/>
      <w:pPr>
        <w:ind w:left="0" w:firstLine="0"/>
      </w:pPr>
      <w:rPr>
        <w:rFonts w:hint="eastAsia" w:ascii="黑体" w:eastAsia="黑体" w:hAnsiTheme="minorHAnsi"/>
        <w:b w:val="0"/>
        <w:i w:val="0"/>
        <w:sz w:val="21"/>
      </w:rPr>
    </w:lvl>
    <w:lvl w:ilvl="5" w:tentative="0">
      <w:start w:val="1"/>
      <w:numFmt w:val="decimal"/>
      <w:pStyle w:val="209"/>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6"/>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2"/>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4"/>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5"/>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90"/>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7"/>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7"/>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2"/>
      <w:lvlText w:val=""/>
      <w:lvlJc w:val="left"/>
      <w:pPr>
        <w:ind w:left="851" w:hanging="431"/>
      </w:pPr>
      <w:rPr>
        <w:rFonts w:hint="default" w:ascii="Symbol" w:hAnsi="Symbol"/>
        <w:sz w:val="21"/>
      </w:rPr>
    </w:lvl>
    <w:lvl w:ilvl="2" w:tentative="0">
      <w:start w:val="1"/>
      <w:numFmt w:val="bullet"/>
      <w:pStyle w:val="177"/>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6"/>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9"/>
      <w:lvlText w:val="%1)"/>
      <w:lvlJc w:val="left"/>
      <w:pPr>
        <w:tabs>
          <w:tab w:val="left" w:pos="851"/>
        </w:tabs>
        <w:ind w:left="851" w:hanging="426"/>
      </w:pPr>
      <w:rPr>
        <w:rFonts w:hint="eastAsia" w:ascii="宋体" w:hAnsi="Times New Roman" w:eastAsia="宋体"/>
        <w:sz w:val="21"/>
      </w:rPr>
    </w:lvl>
    <w:lvl w:ilvl="1" w:tentative="0">
      <w:start w:val="1"/>
      <w:numFmt w:val="decimal"/>
      <w:pStyle w:val="114"/>
      <w:lvlText w:val="%2)"/>
      <w:lvlJc w:val="left"/>
      <w:pPr>
        <w:tabs>
          <w:tab w:val="left" w:pos="1276"/>
        </w:tabs>
        <w:ind w:left="1276" w:hanging="425"/>
      </w:pPr>
      <w:rPr>
        <w:rFonts w:hint="eastAsia" w:ascii="宋体" w:hAnsi="Times New Roman" w:eastAsia="宋体"/>
        <w:sz w:val="21"/>
      </w:rPr>
    </w:lvl>
    <w:lvl w:ilvl="2" w:tentative="0">
      <w:start w:val="1"/>
      <w:numFmt w:val="decimal"/>
      <w:pStyle w:val="122"/>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3"/>
      <w:lvlText w:val="%1"/>
      <w:lvlJc w:val="left"/>
      <w:pPr>
        <w:ind w:left="420" w:hanging="420"/>
      </w:pPr>
      <w:rPr>
        <w:rFonts w:hint="eastAsia"/>
      </w:rPr>
    </w:lvl>
    <w:lvl w:ilvl="1" w:tentative="0">
      <w:start w:val="1"/>
      <w:numFmt w:val="decimal"/>
      <w:pStyle w:val="88"/>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8"/>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21"/>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8"/>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9"/>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4"/>
      <w:suff w:val="space"/>
      <w:lvlText w:val="%1"/>
      <w:lvlJc w:val="left"/>
      <w:pPr>
        <w:ind w:left="425" w:hanging="425"/>
      </w:pPr>
      <w:rPr>
        <w:rFonts w:hint="eastAsia"/>
      </w:rPr>
    </w:lvl>
    <w:lvl w:ilvl="1" w:tentative="0">
      <w:start w:val="1"/>
      <w:numFmt w:val="decimal"/>
      <w:pStyle w:val="82"/>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6"/>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3"/>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7"/>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4"/>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81"/>
      <w:suff w:val="nothing"/>
      <w:lvlText w:val="附录%1"/>
      <w:lvlJc w:val="left"/>
      <w:pPr>
        <w:ind w:left="0" w:firstLine="0"/>
      </w:pPr>
      <w:rPr>
        <w:rFonts w:hint="eastAsia"/>
        <w:spacing w:val="100"/>
      </w:rPr>
    </w:lvl>
    <w:lvl w:ilvl="1" w:tentative="0">
      <w:start w:val="1"/>
      <w:numFmt w:val="decimal"/>
      <w:pStyle w:val="83"/>
      <w:suff w:val="nothing"/>
      <w:lvlText w:val="%1.%2　"/>
      <w:lvlJc w:val="left"/>
      <w:pPr>
        <w:ind w:left="0" w:firstLine="0"/>
      </w:pPr>
      <w:rPr>
        <w:rFonts w:hint="eastAsia" w:ascii="黑体" w:eastAsia="黑体"/>
        <w:b w:val="0"/>
        <w:i w:val="0"/>
        <w:sz w:val="21"/>
      </w:rPr>
    </w:lvl>
    <w:lvl w:ilvl="2" w:tentative="0">
      <w:start w:val="1"/>
      <w:numFmt w:val="decimal"/>
      <w:pStyle w:val="84"/>
      <w:suff w:val="nothing"/>
      <w:lvlText w:val="%1.%2.%3　"/>
      <w:lvlJc w:val="left"/>
      <w:pPr>
        <w:ind w:left="0" w:firstLine="0"/>
      </w:pPr>
      <w:rPr>
        <w:rFonts w:hint="eastAsia" w:ascii="黑体" w:eastAsia="黑体"/>
        <w:b w:val="0"/>
        <w:i w:val="0"/>
        <w:sz w:val="21"/>
      </w:rPr>
    </w:lvl>
    <w:lvl w:ilvl="3" w:tentative="0">
      <w:start w:val="1"/>
      <w:numFmt w:val="decimal"/>
      <w:pStyle w:val="86"/>
      <w:suff w:val="nothing"/>
      <w:lvlText w:val="%1.%2.%3.%4　"/>
      <w:lvlJc w:val="left"/>
      <w:pPr>
        <w:ind w:left="0" w:firstLine="0"/>
      </w:pPr>
      <w:rPr>
        <w:rFonts w:hint="eastAsia" w:ascii="黑体" w:eastAsia="黑体"/>
        <w:b w:val="0"/>
        <w:i w:val="0"/>
        <w:sz w:val="21"/>
      </w:rPr>
    </w:lvl>
    <w:lvl w:ilvl="4" w:tentative="0">
      <w:start w:val="1"/>
      <w:numFmt w:val="decimal"/>
      <w:pStyle w:val="87"/>
      <w:suff w:val="nothing"/>
      <w:lvlText w:val="%1.%2.%3.%4.%5　"/>
      <w:lvlJc w:val="left"/>
      <w:pPr>
        <w:ind w:left="0" w:firstLine="0"/>
      </w:pPr>
      <w:rPr>
        <w:rFonts w:hint="eastAsia" w:ascii="黑体" w:eastAsia="黑体"/>
        <w:b w:val="0"/>
        <w:i w:val="0"/>
        <w:sz w:val="21"/>
      </w:rPr>
    </w:lvl>
    <w:lvl w:ilvl="5" w:tentative="0">
      <w:start w:val="1"/>
      <w:numFmt w:val="decimal"/>
      <w:pStyle w:val="89"/>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3"/>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102"/>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8"/>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7"/>
      <w:suff w:val="nothing"/>
      <w:lvlText w:val="%1"/>
      <w:lvlJc w:val="left"/>
      <w:pPr>
        <w:ind w:left="0" w:firstLine="0"/>
      </w:pPr>
      <w:rPr>
        <w:rFonts w:hint="eastAsia"/>
      </w:rPr>
    </w:lvl>
    <w:lvl w:ilvl="1" w:tentative="0">
      <w:start w:val="1"/>
      <w:numFmt w:val="decimal"/>
      <w:pStyle w:val="109"/>
      <w:suff w:val="nothing"/>
      <w:lvlText w:val="%1%2　"/>
      <w:lvlJc w:val="left"/>
      <w:pPr>
        <w:ind w:left="0" w:firstLine="0"/>
      </w:pPr>
      <w:rPr>
        <w:rFonts w:hint="eastAsia" w:ascii="黑体" w:eastAsia="黑体"/>
        <w:b w:val="0"/>
        <w:i w:val="0"/>
        <w:sz w:val="21"/>
      </w:rPr>
    </w:lvl>
    <w:lvl w:ilvl="2" w:tentative="0">
      <w:start w:val="1"/>
      <w:numFmt w:val="decimal"/>
      <w:pStyle w:val="110"/>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70"/>
      <w:suff w:val="nothing"/>
      <w:lvlText w:val="%1%2.%3.%4　"/>
      <w:lvlJc w:val="left"/>
      <w:pPr>
        <w:ind w:left="426" w:firstLine="0"/>
      </w:pPr>
      <w:rPr>
        <w:rFonts w:hint="eastAsia" w:ascii="黑体" w:eastAsia="黑体"/>
        <w:b w:val="0"/>
        <w:i w:val="0"/>
        <w:sz w:val="21"/>
      </w:rPr>
    </w:lvl>
    <w:lvl w:ilvl="4" w:tentative="0">
      <w:start w:val="1"/>
      <w:numFmt w:val="decimal"/>
      <w:pStyle w:val="99"/>
      <w:suff w:val="nothing"/>
      <w:lvlText w:val="%1%2.%3.%4.%5　"/>
      <w:lvlJc w:val="left"/>
      <w:pPr>
        <w:ind w:left="0" w:firstLine="0"/>
      </w:pPr>
      <w:rPr>
        <w:rFonts w:hint="eastAsia" w:ascii="黑体" w:eastAsia="黑体"/>
        <w:b w:val="0"/>
        <w:i w:val="0"/>
        <w:sz w:val="21"/>
      </w:rPr>
    </w:lvl>
    <w:lvl w:ilvl="5" w:tentative="0">
      <w:start w:val="1"/>
      <w:numFmt w:val="decimal"/>
      <w:pStyle w:val="103"/>
      <w:suff w:val="nothing"/>
      <w:lvlText w:val="%1%2.%3.%4.%5.%6　"/>
      <w:lvlJc w:val="left"/>
      <w:pPr>
        <w:ind w:left="0" w:firstLine="0"/>
      </w:pPr>
      <w:rPr>
        <w:rFonts w:hint="eastAsia" w:ascii="黑体" w:eastAsia="黑体"/>
        <w:b w:val="0"/>
        <w:i w:val="0"/>
        <w:sz w:val="21"/>
      </w:rPr>
    </w:lvl>
    <w:lvl w:ilvl="6" w:tentative="0">
      <w:start w:val="1"/>
      <w:numFmt w:val="decimal"/>
      <w:pStyle w:val="108"/>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4"/>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20"/>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4"/>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BiMzU2NjY2ZmYxOWNmMWYyMWI1NTQ1OGQ4MDQ5ZjcifQ=="/>
  </w:docVars>
  <w:rsids>
    <w:rsidRoot w:val="00580855"/>
    <w:rsid w:val="0000040A"/>
    <w:rsid w:val="00000A94"/>
    <w:rsid w:val="000014B5"/>
    <w:rsid w:val="00001972"/>
    <w:rsid w:val="00001D9A"/>
    <w:rsid w:val="000026EF"/>
    <w:rsid w:val="0000652C"/>
    <w:rsid w:val="00007B3A"/>
    <w:rsid w:val="0001026D"/>
    <w:rsid w:val="000107E0"/>
    <w:rsid w:val="000117AA"/>
    <w:rsid w:val="00011928"/>
    <w:rsid w:val="00011FDE"/>
    <w:rsid w:val="00012FFD"/>
    <w:rsid w:val="000130E2"/>
    <w:rsid w:val="00014162"/>
    <w:rsid w:val="00014340"/>
    <w:rsid w:val="00015636"/>
    <w:rsid w:val="00016A9C"/>
    <w:rsid w:val="00020E76"/>
    <w:rsid w:val="00022184"/>
    <w:rsid w:val="00022762"/>
    <w:rsid w:val="00023765"/>
    <w:rsid w:val="000238E0"/>
    <w:rsid w:val="000249DB"/>
    <w:rsid w:val="00025821"/>
    <w:rsid w:val="0002595E"/>
    <w:rsid w:val="000303C3"/>
    <w:rsid w:val="0003104F"/>
    <w:rsid w:val="000314F0"/>
    <w:rsid w:val="000331D3"/>
    <w:rsid w:val="00033757"/>
    <w:rsid w:val="00034389"/>
    <w:rsid w:val="000346A5"/>
    <w:rsid w:val="00034F61"/>
    <w:rsid w:val="000354BC"/>
    <w:rsid w:val="000359C3"/>
    <w:rsid w:val="00035A7D"/>
    <w:rsid w:val="00035BD8"/>
    <w:rsid w:val="0003707B"/>
    <w:rsid w:val="000411CF"/>
    <w:rsid w:val="0004249A"/>
    <w:rsid w:val="00043282"/>
    <w:rsid w:val="00044286"/>
    <w:rsid w:val="00044A21"/>
    <w:rsid w:val="00044E63"/>
    <w:rsid w:val="00046D60"/>
    <w:rsid w:val="00047469"/>
    <w:rsid w:val="000475DF"/>
    <w:rsid w:val="00047DFD"/>
    <w:rsid w:val="00047F28"/>
    <w:rsid w:val="000503AA"/>
    <w:rsid w:val="000506A1"/>
    <w:rsid w:val="000508C7"/>
    <w:rsid w:val="00050AE9"/>
    <w:rsid w:val="000512BA"/>
    <w:rsid w:val="000515DD"/>
    <w:rsid w:val="00051B0A"/>
    <w:rsid w:val="00051C60"/>
    <w:rsid w:val="0005265A"/>
    <w:rsid w:val="00052ECC"/>
    <w:rsid w:val="000539DD"/>
    <w:rsid w:val="00053BD3"/>
    <w:rsid w:val="0005423E"/>
    <w:rsid w:val="000552A4"/>
    <w:rsid w:val="00055579"/>
    <w:rsid w:val="000556ED"/>
    <w:rsid w:val="00055FE2"/>
    <w:rsid w:val="0005616F"/>
    <w:rsid w:val="0005642D"/>
    <w:rsid w:val="000571EF"/>
    <w:rsid w:val="00057373"/>
    <w:rsid w:val="0005788D"/>
    <w:rsid w:val="00057DBF"/>
    <w:rsid w:val="00060C2E"/>
    <w:rsid w:val="00061033"/>
    <w:rsid w:val="00061345"/>
    <w:rsid w:val="000619E9"/>
    <w:rsid w:val="00061ABA"/>
    <w:rsid w:val="000622D4"/>
    <w:rsid w:val="000626B7"/>
    <w:rsid w:val="0006357D"/>
    <w:rsid w:val="0006405C"/>
    <w:rsid w:val="000644B2"/>
    <w:rsid w:val="00066A9C"/>
    <w:rsid w:val="00066BDC"/>
    <w:rsid w:val="00067F1E"/>
    <w:rsid w:val="000704FD"/>
    <w:rsid w:val="000705C1"/>
    <w:rsid w:val="00070A9C"/>
    <w:rsid w:val="00071CC0"/>
    <w:rsid w:val="00073C8C"/>
    <w:rsid w:val="00074591"/>
    <w:rsid w:val="00075BBC"/>
    <w:rsid w:val="000761B4"/>
    <w:rsid w:val="00077849"/>
    <w:rsid w:val="00077B64"/>
    <w:rsid w:val="00080A1C"/>
    <w:rsid w:val="00081242"/>
    <w:rsid w:val="00082317"/>
    <w:rsid w:val="00082338"/>
    <w:rsid w:val="000826DC"/>
    <w:rsid w:val="000827CB"/>
    <w:rsid w:val="0008343F"/>
    <w:rsid w:val="00083D2C"/>
    <w:rsid w:val="000848A2"/>
    <w:rsid w:val="00085AFF"/>
    <w:rsid w:val="00085B2F"/>
    <w:rsid w:val="00085CE5"/>
    <w:rsid w:val="00086AA1"/>
    <w:rsid w:val="00086B47"/>
    <w:rsid w:val="0008758E"/>
    <w:rsid w:val="00087A77"/>
    <w:rsid w:val="00090CA6"/>
    <w:rsid w:val="00092261"/>
    <w:rsid w:val="00092B8A"/>
    <w:rsid w:val="00092FB0"/>
    <w:rsid w:val="000930EA"/>
    <w:rsid w:val="000934C5"/>
    <w:rsid w:val="00093D21"/>
    <w:rsid w:val="00093D25"/>
    <w:rsid w:val="00093EA3"/>
    <w:rsid w:val="000946F2"/>
    <w:rsid w:val="00094D73"/>
    <w:rsid w:val="000951CD"/>
    <w:rsid w:val="00095AD7"/>
    <w:rsid w:val="00096D63"/>
    <w:rsid w:val="00096EEC"/>
    <w:rsid w:val="000A0B60"/>
    <w:rsid w:val="000A0EB8"/>
    <w:rsid w:val="000A19FC"/>
    <w:rsid w:val="000A296B"/>
    <w:rsid w:val="000A2A75"/>
    <w:rsid w:val="000A3C16"/>
    <w:rsid w:val="000A4AA8"/>
    <w:rsid w:val="000A54B4"/>
    <w:rsid w:val="000A64C7"/>
    <w:rsid w:val="000A69B0"/>
    <w:rsid w:val="000A7098"/>
    <w:rsid w:val="000A7311"/>
    <w:rsid w:val="000B060F"/>
    <w:rsid w:val="000B09B5"/>
    <w:rsid w:val="000B0C27"/>
    <w:rsid w:val="000B1592"/>
    <w:rsid w:val="000B1835"/>
    <w:rsid w:val="000B1B71"/>
    <w:rsid w:val="000B1FF2"/>
    <w:rsid w:val="000B21CF"/>
    <w:rsid w:val="000B28CB"/>
    <w:rsid w:val="000B3CDA"/>
    <w:rsid w:val="000B5240"/>
    <w:rsid w:val="000B6A0B"/>
    <w:rsid w:val="000C0F6C"/>
    <w:rsid w:val="000C11DB"/>
    <w:rsid w:val="000C1A1C"/>
    <w:rsid w:val="000C2898"/>
    <w:rsid w:val="000C2FBD"/>
    <w:rsid w:val="000C3819"/>
    <w:rsid w:val="000C3E10"/>
    <w:rsid w:val="000C4B41"/>
    <w:rsid w:val="000C4BCE"/>
    <w:rsid w:val="000C57D6"/>
    <w:rsid w:val="000C6787"/>
    <w:rsid w:val="000C6F29"/>
    <w:rsid w:val="000C7666"/>
    <w:rsid w:val="000C7847"/>
    <w:rsid w:val="000C79D9"/>
    <w:rsid w:val="000D0A9C"/>
    <w:rsid w:val="000D1795"/>
    <w:rsid w:val="000D329A"/>
    <w:rsid w:val="000D3CB4"/>
    <w:rsid w:val="000D42A5"/>
    <w:rsid w:val="000D4B9C"/>
    <w:rsid w:val="000D4EB6"/>
    <w:rsid w:val="000D5110"/>
    <w:rsid w:val="000D5400"/>
    <w:rsid w:val="000D57AA"/>
    <w:rsid w:val="000D753B"/>
    <w:rsid w:val="000D7604"/>
    <w:rsid w:val="000D76BE"/>
    <w:rsid w:val="000D7B39"/>
    <w:rsid w:val="000E2D72"/>
    <w:rsid w:val="000E3AE8"/>
    <w:rsid w:val="000E3ED0"/>
    <w:rsid w:val="000E4C9E"/>
    <w:rsid w:val="000E4FFB"/>
    <w:rsid w:val="000E5046"/>
    <w:rsid w:val="000E5AF1"/>
    <w:rsid w:val="000E6FD7"/>
    <w:rsid w:val="000E7EAA"/>
    <w:rsid w:val="000F06E1"/>
    <w:rsid w:val="000F0E3C"/>
    <w:rsid w:val="000F0FDA"/>
    <w:rsid w:val="000F19D5"/>
    <w:rsid w:val="000F1DCF"/>
    <w:rsid w:val="000F292B"/>
    <w:rsid w:val="000F2E41"/>
    <w:rsid w:val="000F2EAB"/>
    <w:rsid w:val="000F300D"/>
    <w:rsid w:val="000F320E"/>
    <w:rsid w:val="000F3836"/>
    <w:rsid w:val="000F4486"/>
    <w:rsid w:val="000F4AEA"/>
    <w:rsid w:val="000F5A5A"/>
    <w:rsid w:val="000F5B17"/>
    <w:rsid w:val="000F5F08"/>
    <w:rsid w:val="000F6501"/>
    <w:rsid w:val="000F6662"/>
    <w:rsid w:val="000F67E9"/>
    <w:rsid w:val="000F7C38"/>
    <w:rsid w:val="001016A7"/>
    <w:rsid w:val="00102036"/>
    <w:rsid w:val="00102C1C"/>
    <w:rsid w:val="001036C3"/>
    <w:rsid w:val="001043D4"/>
    <w:rsid w:val="00104926"/>
    <w:rsid w:val="00106A36"/>
    <w:rsid w:val="001107B1"/>
    <w:rsid w:val="00110AC0"/>
    <w:rsid w:val="0011268F"/>
    <w:rsid w:val="0011381E"/>
    <w:rsid w:val="00113B1E"/>
    <w:rsid w:val="0011480D"/>
    <w:rsid w:val="00115BD8"/>
    <w:rsid w:val="0011711C"/>
    <w:rsid w:val="00117204"/>
    <w:rsid w:val="00117248"/>
    <w:rsid w:val="00121BB2"/>
    <w:rsid w:val="001222FD"/>
    <w:rsid w:val="00124774"/>
    <w:rsid w:val="00124C7B"/>
    <w:rsid w:val="00124D43"/>
    <w:rsid w:val="00124E4F"/>
    <w:rsid w:val="001252E0"/>
    <w:rsid w:val="001260B7"/>
    <w:rsid w:val="001265CB"/>
    <w:rsid w:val="00127F1C"/>
    <w:rsid w:val="00130051"/>
    <w:rsid w:val="001321C6"/>
    <w:rsid w:val="0013247A"/>
    <w:rsid w:val="00132556"/>
    <w:rsid w:val="001325C4"/>
    <w:rsid w:val="00133010"/>
    <w:rsid w:val="001337A1"/>
    <w:rsid w:val="001338EE"/>
    <w:rsid w:val="00133AAE"/>
    <w:rsid w:val="00134F08"/>
    <w:rsid w:val="001350B4"/>
    <w:rsid w:val="00135323"/>
    <w:rsid w:val="001356C4"/>
    <w:rsid w:val="00135F48"/>
    <w:rsid w:val="00136F26"/>
    <w:rsid w:val="00141114"/>
    <w:rsid w:val="00141434"/>
    <w:rsid w:val="00141815"/>
    <w:rsid w:val="00142969"/>
    <w:rsid w:val="001457E7"/>
    <w:rsid w:val="00145D9D"/>
    <w:rsid w:val="00146388"/>
    <w:rsid w:val="00150050"/>
    <w:rsid w:val="00150794"/>
    <w:rsid w:val="00151768"/>
    <w:rsid w:val="00151A17"/>
    <w:rsid w:val="00152446"/>
    <w:rsid w:val="001527ED"/>
    <w:rsid w:val="001529E5"/>
    <w:rsid w:val="00152B7A"/>
    <w:rsid w:val="00153C7E"/>
    <w:rsid w:val="0015656B"/>
    <w:rsid w:val="00156AA0"/>
    <w:rsid w:val="00156B25"/>
    <w:rsid w:val="00156E1A"/>
    <w:rsid w:val="001575B6"/>
    <w:rsid w:val="00157B55"/>
    <w:rsid w:val="00157CD0"/>
    <w:rsid w:val="00157E60"/>
    <w:rsid w:val="001612B8"/>
    <w:rsid w:val="00161DED"/>
    <w:rsid w:val="0016218F"/>
    <w:rsid w:val="00163256"/>
    <w:rsid w:val="00163B02"/>
    <w:rsid w:val="00163E35"/>
    <w:rsid w:val="001642FA"/>
    <w:rsid w:val="001649EB"/>
    <w:rsid w:val="00164BAF"/>
    <w:rsid w:val="00164FA8"/>
    <w:rsid w:val="00165065"/>
    <w:rsid w:val="00165434"/>
    <w:rsid w:val="0016580B"/>
    <w:rsid w:val="00165F49"/>
    <w:rsid w:val="00165F54"/>
    <w:rsid w:val="001663FE"/>
    <w:rsid w:val="00166B88"/>
    <w:rsid w:val="0016770A"/>
    <w:rsid w:val="00170804"/>
    <w:rsid w:val="001708E9"/>
    <w:rsid w:val="001724C8"/>
    <w:rsid w:val="00172CCA"/>
    <w:rsid w:val="0017340B"/>
    <w:rsid w:val="00173FB1"/>
    <w:rsid w:val="001745E3"/>
    <w:rsid w:val="0017476F"/>
    <w:rsid w:val="001747B0"/>
    <w:rsid w:val="001765B9"/>
    <w:rsid w:val="00176DFD"/>
    <w:rsid w:val="001771D7"/>
    <w:rsid w:val="00177313"/>
    <w:rsid w:val="001802B0"/>
    <w:rsid w:val="00180551"/>
    <w:rsid w:val="001808A6"/>
    <w:rsid w:val="00181AA5"/>
    <w:rsid w:val="00182B55"/>
    <w:rsid w:val="00183B62"/>
    <w:rsid w:val="00183E37"/>
    <w:rsid w:val="0018402C"/>
    <w:rsid w:val="001852C9"/>
    <w:rsid w:val="00186E64"/>
    <w:rsid w:val="00187753"/>
    <w:rsid w:val="00190087"/>
    <w:rsid w:val="00190E3A"/>
    <w:rsid w:val="0019100D"/>
    <w:rsid w:val="001913C4"/>
    <w:rsid w:val="001914AE"/>
    <w:rsid w:val="00191E28"/>
    <w:rsid w:val="00191E5A"/>
    <w:rsid w:val="0019348F"/>
    <w:rsid w:val="00193762"/>
    <w:rsid w:val="001938E1"/>
    <w:rsid w:val="00193A07"/>
    <w:rsid w:val="001947E9"/>
    <w:rsid w:val="00194C09"/>
    <w:rsid w:val="00194C95"/>
    <w:rsid w:val="00194FEF"/>
    <w:rsid w:val="00195C34"/>
    <w:rsid w:val="00196AC8"/>
    <w:rsid w:val="00196FB0"/>
    <w:rsid w:val="0019792D"/>
    <w:rsid w:val="001A015C"/>
    <w:rsid w:val="001A018B"/>
    <w:rsid w:val="001A1A53"/>
    <w:rsid w:val="001A234A"/>
    <w:rsid w:val="001A50AA"/>
    <w:rsid w:val="001A56AC"/>
    <w:rsid w:val="001A620A"/>
    <w:rsid w:val="001A642A"/>
    <w:rsid w:val="001A695E"/>
    <w:rsid w:val="001A6AEC"/>
    <w:rsid w:val="001B0359"/>
    <w:rsid w:val="001B06E8"/>
    <w:rsid w:val="001B1550"/>
    <w:rsid w:val="001B1932"/>
    <w:rsid w:val="001B4EB0"/>
    <w:rsid w:val="001B4F4A"/>
    <w:rsid w:val="001B5635"/>
    <w:rsid w:val="001B71D0"/>
    <w:rsid w:val="001B71EE"/>
    <w:rsid w:val="001B7415"/>
    <w:rsid w:val="001C04A8"/>
    <w:rsid w:val="001C1B2E"/>
    <w:rsid w:val="001C2C03"/>
    <w:rsid w:val="001C3640"/>
    <w:rsid w:val="001C42F7"/>
    <w:rsid w:val="001C49E5"/>
    <w:rsid w:val="001C60D4"/>
    <w:rsid w:val="001C61BE"/>
    <w:rsid w:val="001C680C"/>
    <w:rsid w:val="001C6F3D"/>
    <w:rsid w:val="001C7065"/>
    <w:rsid w:val="001C782B"/>
    <w:rsid w:val="001C7865"/>
    <w:rsid w:val="001C7FEA"/>
    <w:rsid w:val="001D0499"/>
    <w:rsid w:val="001D0BBE"/>
    <w:rsid w:val="001D0ED4"/>
    <w:rsid w:val="001D1C53"/>
    <w:rsid w:val="001D212F"/>
    <w:rsid w:val="001D29D7"/>
    <w:rsid w:val="001D2DE7"/>
    <w:rsid w:val="001D38A6"/>
    <w:rsid w:val="001D3A3C"/>
    <w:rsid w:val="001D411C"/>
    <w:rsid w:val="001D4A7B"/>
    <w:rsid w:val="001D7D17"/>
    <w:rsid w:val="001D7D2F"/>
    <w:rsid w:val="001E06DF"/>
    <w:rsid w:val="001E1B6A"/>
    <w:rsid w:val="001E1E35"/>
    <w:rsid w:val="001E2484"/>
    <w:rsid w:val="001E2EF0"/>
    <w:rsid w:val="001E3888"/>
    <w:rsid w:val="001E3B19"/>
    <w:rsid w:val="001E3CC4"/>
    <w:rsid w:val="001E4882"/>
    <w:rsid w:val="001E6FB2"/>
    <w:rsid w:val="001E73AB"/>
    <w:rsid w:val="001E7698"/>
    <w:rsid w:val="001F0606"/>
    <w:rsid w:val="001F092D"/>
    <w:rsid w:val="001F143A"/>
    <w:rsid w:val="001F1605"/>
    <w:rsid w:val="001F2508"/>
    <w:rsid w:val="001F3D08"/>
    <w:rsid w:val="001F4816"/>
    <w:rsid w:val="001F4991"/>
    <w:rsid w:val="001F4CA5"/>
    <w:rsid w:val="001F4DE1"/>
    <w:rsid w:val="001F5EC3"/>
    <w:rsid w:val="001F69B4"/>
    <w:rsid w:val="001F77C7"/>
    <w:rsid w:val="00200183"/>
    <w:rsid w:val="0020107D"/>
    <w:rsid w:val="0020174E"/>
    <w:rsid w:val="00202AA4"/>
    <w:rsid w:val="00202DB1"/>
    <w:rsid w:val="00202DCA"/>
    <w:rsid w:val="002031F7"/>
    <w:rsid w:val="002040E6"/>
    <w:rsid w:val="002045B6"/>
    <w:rsid w:val="002047FE"/>
    <w:rsid w:val="002049AB"/>
    <w:rsid w:val="0020527B"/>
    <w:rsid w:val="002058A1"/>
    <w:rsid w:val="00205BA9"/>
    <w:rsid w:val="0020621A"/>
    <w:rsid w:val="002064AC"/>
    <w:rsid w:val="00206BC1"/>
    <w:rsid w:val="00210B15"/>
    <w:rsid w:val="002116B9"/>
    <w:rsid w:val="002142EA"/>
    <w:rsid w:val="00214F43"/>
    <w:rsid w:val="00215BD2"/>
    <w:rsid w:val="00216081"/>
    <w:rsid w:val="00216B61"/>
    <w:rsid w:val="002174A2"/>
    <w:rsid w:val="00217C7C"/>
    <w:rsid w:val="002202AD"/>
    <w:rsid w:val="002204BB"/>
    <w:rsid w:val="00221B79"/>
    <w:rsid w:val="00221C6B"/>
    <w:rsid w:val="0022436F"/>
    <w:rsid w:val="002246F2"/>
    <w:rsid w:val="002251E8"/>
    <w:rsid w:val="002253A1"/>
    <w:rsid w:val="00225CF8"/>
    <w:rsid w:val="0022608A"/>
    <w:rsid w:val="0022794E"/>
    <w:rsid w:val="00230EB5"/>
    <w:rsid w:val="00231863"/>
    <w:rsid w:val="00231C08"/>
    <w:rsid w:val="00231FA9"/>
    <w:rsid w:val="00232909"/>
    <w:rsid w:val="002329D5"/>
    <w:rsid w:val="00233105"/>
    <w:rsid w:val="00233D64"/>
    <w:rsid w:val="00233E14"/>
    <w:rsid w:val="00234431"/>
    <w:rsid w:val="0023469A"/>
    <w:rsid w:val="002347EB"/>
    <w:rsid w:val="0023482A"/>
    <w:rsid w:val="002351EC"/>
    <w:rsid w:val="002359CB"/>
    <w:rsid w:val="00236939"/>
    <w:rsid w:val="00236B7C"/>
    <w:rsid w:val="00236EF9"/>
    <w:rsid w:val="002405D3"/>
    <w:rsid w:val="002406C0"/>
    <w:rsid w:val="002416B7"/>
    <w:rsid w:val="00241EE7"/>
    <w:rsid w:val="00243540"/>
    <w:rsid w:val="00243C29"/>
    <w:rsid w:val="00243D7A"/>
    <w:rsid w:val="0024497B"/>
    <w:rsid w:val="00244B30"/>
    <w:rsid w:val="00244D22"/>
    <w:rsid w:val="0024511F"/>
    <w:rsid w:val="0024515B"/>
    <w:rsid w:val="00246021"/>
    <w:rsid w:val="0024666E"/>
    <w:rsid w:val="00247F52"/>
    <w:rsid w:val="0025091A"/>
    <w:rsid w:val="00250B25"/>
    <w:rsid w:val="00250BBE"/>
    <w:rsid w:val="00250F7D"/>
    <w:rsid w:val="00251348"/>
    <w:rsid w:val="0025194F"/>
    <w:rsid w:val="00251FE0"/>
    <w:rsid w:val="0025230E"/>
    <w:rsid w:val="0025395B"/>
    <w:rsid w:val="00253F31"/>
    <w:rsid w:val="00254D2A"/>
    <w:rsid w:val="002557AD"/>
    <w:rsid w:val="00261129"/>
    <w:rsid w:val="0026148A"/>
    <w:rsid w:val="002616C7"/>
    <w:rsid w:val="002617E0"/>
    <w:rsid w:val="00261DBE"/>
    <w:rsid w:val="00262669"/>
    <w:rsid w:val="00262696"/>
    <w:rsid w:val="002626CC"/>
    <w:rsid w:val="002643C3"/>
    <w:rsid w:val="00264A0C"/>
    <w:rsid w:val="002650FC"/>
    <w:rsid w:val="002656B5"/>
    <w:rsid w:val="00265C0E"/>
    <w:rsid w:val="0026617E"/>
    <w:rsid w:val="00267EF4"/>
    <w:rsid w:val="00270CB8"/>
    <w:rsid w:val="00271ACB"/>
    <w:rsid w:val="00272B08"/>
    <w:rsid w:val="0027475B"/>
    <w:rsid w:val="00275F7F"/>
    <w:rsid w:val="00276904"/>
    <w:rsid w:val="00276CA5"/>
    <w:rsid w:val="00280163"/>
    <w:rsid w:val="0028196D"/>
    <w:rsid w:val="00281BB8"/>
    <w:rsid w:val="00281E63"/>
    <w:rsid w:val="00281E9E"/>
    <w:rsid w:val="00283471"/>
    <w:rsid w:val="00283F87"/>
    <w:rsid w:val="00284B01"/>
    <w:rsid w:val="0028502C"/>
    <w:rsid w:val="0028516D"/>
    <w:rsid w:val="00285170"/>
    <w:rsid w:val="00285361"/>
    <w:rsid w:val="00287850"/>
    <w:rsid w:val="002907DC"/>
    <w:rsid w:val="002908B0"/>
    <w:rsid w:val="0029157B"/>
    <w:rsid w:val="002920F7"/>
    <w:rsid w:val="00292AB5"/>
    <w:rsid w:val="00292D60"/>
    <w:rsid w:val="002943AB"/>
    <w:rsid w:val="002945F3"/>
    <w:rsid w:val="00294D34"/>
    <w:rsid w:val="00294E3B"/>
    <w:rsid w:val="00295B94"/>
    <w:rsid w:val="00296193"/>
    <w:rsid w:val="00296C66"/>
    <w:rsid w:val="00296EBE"/>
    <w:rsid w:val="00297355"/>
    <w:rsid w:val="002974E3"/>
    <w:rsid w:val="002A084B"/>
    <w:rsid w:val="002A0F05"/>
    <w:rsid w:val="002A1260"/>
    <w:rsid w:val="002A1589"/>
    <w:rsid w:val="002A1608"/>
    <w:rsid w:val="002A2181"/>
    <w:rsid w:val="002A25DC"/>
    <w:rsid w:val="002A2879"/>
    <w:rsid w:val="002A339E"/>
    <w:rsid w:val="002A356E"/>
    <w:rsid w:val="002A3AAB"/>
    <w:rsid w:val="002A4CEA"/>
    <w:rsid w:val="002A51B2"/>
    <w:rsid w:val="002A5977"/>
    <w:rsid w:val="002A5A13"/>
    <w:rsid w:val="002A5CC2"/>
    <w:rsid w:val="002A5CF7"/>
    <w:rsid w:val="002A5E40"/>
    <w:rsid w:val="002A6E78"/>
    <w:rsid w:val="002A7F44"/>
    <w:rsid w:val="002B03C5"/>
    <w:rsid w:val="002B0680"/>
    <w:rsid w:val="002B06A8"/>
    <w:rsid w:val="002B0C40"/>
    <w:rsid w:val="002B0F82"/>
    <w:rsid w:val="002B15A8"/>
    <w:rsid w:val="002B1966"/>
    <w:rsid w:val="002B2745"/>
    <w:rsid w:val="002B2C8E"/>
    <w:rsid w:val="002B2F24"/>
    <w:rsid w:val="002B36FE"/>
    <w:rsid w:val="002B4508"/>
    <w:rsid w:val="002B4F96"/>
    <w:rsid w:val="002B5323"/>
    <w:rsid w:val="002B5779"/>
    <w:rsid w:val="002B5D3C"/>
    <w:rsid w:val="002B61A3"/>
    <w:rsid w:val="002B6A58"/>
    <w:rsid w:val="002B7332"/>
    <w:rsid w:val="002B7440"/>
    <w:rsid w:val="002B7AE8"/>
    <w:rsid w:val="002B7D05"/>
    <w:rsid w:val="002B7D72"/>
    <w:rsid w:val="002B7F51"/>
    <w:rsid w:val="002C02A3"/>
    <w:rsid w:val="002C0555"/>
    <w:rsid w:val="002C09E7"/>
    <w:rsid w:val="002C0A09"/>
    <w:rsid w:val="002C1737"/>
    <w:rsid w:val="002C174D"/>
    <w:rsid w:val="002C1B28"/>
    <w:rsid w:val="002C2012"/>
    <w:rsid w:val="002C237F"/>
    <w:rsid w:val="002C3F07"/>
    <w:rsid w:val="002C4E65"/>
    <w:rsid w:val="002C5161"/>
    <w:rsid w:val="002C5278"/>
    <w:rsid w:val="002C5FDA"/>
    <w:rsid w:val="002C63BD"/>
    <w:rsid w:val="002C646F"/>
    <w:rsid w:val="002C6A38"/>
    <w:rsid w:val="002C7139"/>
    <w:rsid w:val="002C7895"/>
    <w:rsid w:val="002C79D3"/>
    <w:rsid w:val="002C7EBB"/>
    <w:rsid w:val="002D0090"/>
    <w:rsid w:val="002D06C1"/>
    <w:rsid w:val="002D082D"/>
    <w:rsid w:val="002D091A"/>
    <w:rsid w:val="002D0C0A"/>
    <w:rsid w:val="002D1063"/>
    <w:rsid w:val="002D306B"/>
    <w:rsid w:val="002D3448"/>
    <w:rsid w:val="002D42B5"/>
    <w:rsid w:val="002D4F1A"/>
    <w:rsid w:val="002D54CA"/>
    <w:rsid w:val="002D59C1"/>
    <w:rsid w:val="002D5A0C"/>
    <w:rsid w:val="002D679B"/>
    <w:rsid w:val="002D6EC6"/>
    <w:rsid w:val="002D73C5"/>
    <w:rsid w:val="002D77F2"/>
    <w:rsid w:val="002D79AC"/>
    <w:rsid w:val="002E039D"/>
    <w:rsid w:val="002E0C81"/>
    <w:rsid w:val="002E1DD7"/>
    <w:rsid w:val="002E264C"/>
    <w:rsid w:val="002E470C"/>
    <w:rsid w:val="002E4D5A"/>
    <w:rsid w:val="002E62D5"/>
    <w:rsid w:val="002E6326"/>
    <w:rsid w:val="002E6357"/>
    <w:rsid w:val="002E6864"/>
    <w:rsid w:val="002F01F5"/>
    <w:rsid w:val="002F292C"/>
    <w:rsid w:val="002F30E0"/>
    <w:rsid w:val="002F30E6"/>
    <w:rsid w:val="002F35E4"/>
    <w:rsid w:val="002F3730"/>
    <w:rsid w:val="002F38E1"/>
    <w:rsid w:val="002F4BFD"/>
    <w:rsid w:val="002F5E43"/>
    <w:rsid w:val="002F61DC"/>
    <w:rsid w:val="002F7AF6"/>
    <w:rsid w:val="00300251"/>
    <w:rsid w:val="00300E63"/>
    <w:rsid w:val="0030174B"/>
    <w:rsid w:val="00302007"/>
    <w:rsid w:val="00302686"/>
    <w:rsid w:val="003029B1"/>
    <w:rsid w:val="00302F5F"/>
    <w:rsid w:val="0030441D"/>
    <w:rsid w:val="00304F7D"/>
    <w:rsid w:val="00306063"/>
    <w:rsid w:val="00306071"/>
    <w:rsid w:val="0030619C"/>
    <w:rsid w:val="0030646C"/>
    <w:rsid w:val="00312C5A"/>
    <w:rsid w:val="0031330F"/>
    <w:rsid w:val="003134F5"/>
    <w:rsid w:val="00313A0C"/>
    <w:rsid w:val="00313B85"/>
    <w:rsid w:val="00314BDF"/>
    <w:rsid w:val="00314DF7"/>
    <w:rsid w:val="00317091"/>
    <w:rsid w:val="00317988"/>
    <w:rsid w:val="00317C5F"/>
    <w:rsid w:val="00317F48"/>
    <w:rsid w:val="00320364"/>
    <w:rsid w:val="00321146"/>
    <w:rsid w:val="0032175D"/>
    <w:rsid w:val="003221B4"/>
    <w:rsid w:val="00322E62"/>
    <w:rsid w:val="00324EDD"/>
    <w:rsid w:val="00326F7B"/>
    <w:rsid w:val="003303E5"/>
    <w:rsid w:val="00334104"/>
    <w:rsid w:val="00334B8C"/>
    <w:rsid w:val="00334FD2"/>
    <w:rsid w:val="00336315"/>
    <w:rsid w:val="00336C64"/>
    <w:rsid w:val="0033703D"/>
    <w:rsid w:val="00337162"/>
    <w:rsid w:val="00337FEE"/>
    <w:rsid w:val="0034194F"/>
    <w:rsid w:val="00341966"/>
    <w:rsid w:val="00341A74"/>
    <w:rsid w:val="00342322"/>
    <w:rsid w:val="00342756"/>
    <w:rsid w:val="003439E3"/>
    <w:rsid w:val="00344605"/>
    <w:rsid w:val="00344CD5"/>
    <w:rsid w:val="00344D38"/>
    <w:rsid w:val="00345506"/>
    <w:rsid w:val="00346317"/>
    <w:rsid w:val="00346648"/>
    <w:rsid w:val="003474AA"/>
    <w:rsid w:val="00347A19"/>
    <w:rsid w:val="0035001F"/>
    <w:rsid w:val="00350D1D"/>
    <w:rsid w:val="003518AF"/>
    <w:rsid w:val="0035283D"/>
    <w:rsid w:val="00352C83"/>
    <w:rsid w:val="00352D5D"/>
    <w:rsid w:val="00352DD4"/>
    <w:rsid w:val="00353F1C"/>
    <w:rsid w:val="00354E52"/>
    <w:rsid w:val="0035624D"/>
    <w:rsid w:val="00360416"/>
    <w:rsid w:val="003615D2"/>
    <w:rsid w:val="00362C63"/>
    <w:rsid w:val="00363003"/>
    <w:rsid w:val="00363D4A"/>
    <w:rsid w:val="003641CD"/>
    <w:rsid w:val="0036429C"/>
    <w:rsid w:val="00364A53"/>
    <w:rsid w:val="00364B15"/>
    <w:rsid w:val="003652A1"/>
    <w:rsid w:val="003654CB"/>
    <w:rsid w:val="0036562D"/>
    <w:rsid w:val="00365649"/>
    <w:rsid w:val="00365BA0"/>
    <w:rsid w:val="00365F86"/>
    <w:rsid w:val="00365F87"/>
    <w:rsid w:val="003670E8"/>
    <w:rsid w:val="003705F4"/>
    <w:rsid w:val="00370D58"/>
    <w:rsid w:val="00371316"/>
    <w:rsid w:val="00371593"/>
    <w:rsid w:val="00371CA1"/>
    <w:rsid w:val="00372FEF"/>
    <w:rsid w:val="003738AE"/>
    <w:rsid w:val="003738DB"/>
    <w:rsid w:val="00374467"/>
    <w:rsid w:val="00376713"/>
    <w:rsid w:val="003770B7"/>
    <w:rsid w:val="0037720F"/>
    <w:rsid w:val="0038057A"/>
    <w:rsid w:val="00380A95"/>
    <w:rsid w:val="0038170B"/>
    <w:rsid w:val="00381815"/>
    <w:rsid w:val="003819AF"/>
    <w:rsid w:val="0038206E"/>
    <w:rsid w:val="003820E9"/>
    <w:rsid w:val="00382927"/>
    <w:rsid w:val="00382DE7"/>
    <w:rsid w:val="00383848"/>
    <w:rsid w:val="00384B13"/>
    <w:rsid w:val="00384FFC"/>
    <w:rsid w:val="0038508A"/>
    <w:rsid w:val="003863E1"/>
    <w:rsid w:val="003865BC"/>
    <w:rsid w:val="003872FC"/>
    <w:rsid w:val="00387ADC"/>
    <w:rsid w:val="00390020"/>
    <w:rsid w:val="0039019E"/>
    <w:rsid w:val="003903D6"/>
    <w:rsid w:val="003906E5"/>
    <w:rsid w:val="00390925"/>
    <w:rsid w:val="00390C43"/>
    <w:rsid w:val="00390EE6"/>
    <w:rsid w:val="00390F09"/>
    <w:rsid w:val="00390FD1"/>
    <w:rsid w:val="0039118F"/>
    <w:rsid w:val="00391CFB"/>
    <w:rsid w:val="0039266F"/>
    <w:rsid w:val="00392AD7"/>
    <w:rsid w:val="00392C1E"/>
    <w:rsid w:val="003938D9"/>
    <w:rsid w:val="00394376"/>
    <w:rsid w:val="003943FF"/>
    <w:rsid w:val="003966CE"/>
    <w:rsid w:val="003967CE"/>
    <w:rsid w:val="003974EB"/>
    <w:rsid w:val="00397A4C"/>
    <w:rsid w:val="00397CC5"/>
    <w:rsid w:val="00397EDD"/>
    <w:rsid w:val="003A0F04"/>
    <w:rsid w:val="003A1582"/>
    <w:rsid w:val="003A1B19"/>
    <w:rsid w:val="003A2567"/>
    <w:rsid w:val="003A34BD"/>
    <w:rsid w:val="003A3E3A"/>
    <w:rsid w:val="003A4077"/>
    <w:rsid w:val="003A4D2B"/>
    <w:rsid w:val="003A66A0"/>
    <w:rsid w:val="003A7E70"/>
    <w:rsid w:val="003B0776"/>
    <w:rsid w:val="003B09AD"/>
    <w:rsid w:val="003B0E4D"/>
    <w:rsid w:val="003B178E"/>
    <w:rsid w:val="003B1F18"/>
    <w:rsid w:val="003B257E"/>
    <w:rsid w:val="003B59DE"/>
    <w:rsid w:val="003B5BBC"/>
    <w:rsid w:val="003B5BF0"/>
    <w:rsid w:val="003B5C80"/>
    <w:rsid w:val="003B5DC2"/>
    <w:rsid w:val="003B60BF"/>
    <w:rsid w:val="003B6498"/>
    <w:rsid w:val="003B69A9"/>
    <w:rsid w:val="003B6BE3"/>
    <w:rsid w:val="003B7581"/>
    <w:rsid w:val="003B7593"/>
    <w:rsid w:val="003C010C"/>
    <w:rsid w:val="003C0A6C"/>
    <w:rsid w:val="003C0EED"/>
    <w:rsid w:val="003C19C4"/>
    <w:rsid w:val="003C211B"/>
    <w:rsid w:val="003C2329"/>
    <w:rsid w:val="003C2D95"/>
    <w:rsid w:val="003C465A"/>
    <w:rsid w:val="003C50D8"/>
    <w:rsid w:val="003C568F"/>
    <w:rsid w:val="003C5A43"/>
    <w:rsid w:val="003C637C"/>
    <w:rsid w:val="003C7705"/>
    <w:rsid w:val="003D0519"/>
    <w:rsid w:val="003D0FF6"/>
    <w:rsid w:val="003D25FF"/>
    <w:rsid w:val="003D262C"/>
    <w:rsid w:val="003D2BD1"/>
    <w:rsid w:val="003D32D9"/>
    <w:rsid w:val="003D607F"/>
    <w:rsid w:val="003D6D61"/>
    <w:rsid w:val="003E091D"/>
    <w:rsid w:val="003E1BDB"/>
    <w:rsid w:val="003E1C53"/>
    <w:rsid w:val="003E2702"/>
    <w:rsid w:val="003E2A69"/>
    <w:rsid w:val="003E2D49"/>
    <w:rsid w:val="003E2D80"/>
    <w:rsid w:val="003E2FD4"/>
    <w:rsid w:val="003E3925"/>
    <w:rsid w:val="003E49F6"/>
    <w:rsid w:val="003E53A3"/>
    <w:rsid w:val="003E6180"/>
    <w:rsid w:val="003E71B9"/>
    <w:rsid w:val="003E75D1"/>
    <w:rsid w:val="003E794A"/>
    <w:rsid w:val="003E7A19"/>
    <w:rsid w:val="003E7DCE"/>
    <w:rsid w:val="003F0675"/>
    <w:rsid w:val="003F0841"/>
    <w:rsid w:val="003F1462"/>
    <w:rsid w:val="003F18F1"/>
    <w:rsid w:val="003F23D3"/>
    <w:rsid w:val="003F3A52"/>
    <w:rsid w:val="003F3F08"/>
    <w:rsid w:val="003F49F1"/>
    <w:rsid w:val="003F6272"/>
    <w:rsid w:val="003F792B"/>
    <w:rsid w:val="00400E2A"/>
    <w:rsid w:val="00400E72"/>
    <w:rsid w:val="00400F48"/>
    <w:rsid w:val="00401400"/>
    <w:rsid w:val="004016ED"/>
    <w:rsid w:val="00404237"/>
    <w:rsid w:val="00404869"/>
    <w:rsid w:val="00405884"/>
    <w:rsid w:val="00405BC7"/>
    <w:rsid w:val="00406BD3"/>
    <w:rsid w:val="00407935"/>
    <w:rsid w:val="00407D39"/>
    <w:rsid w:val="00412386"/>
    <w:rsid w:val="00412EF5"/>
    <w:rsid w:val="0041477A"/>
    <w:rsid w:val="0041562B"/>
    <w:rsid w:val="004160E8"/>
    <w:rsid w:val="004164BF"/>
    <w:rsid w:val="004167A3"/>
    <w:rsid w:val="00416E29"/>
    <w:rsid w:val="00421314"/>
    <w:rsid w:val="004233FA"/>
    <w:rsid w:val="00423E2A"/>
    <w:rsid w:val="00424394"/>
    <w:rsid w:val="0042509D"/>
    <w:rsid w:val="00426773"/>
    <w:rsid w:val="0043049F"/>
    <w:rsid w:val="00430F60"/>
    <w:rsid w:val="00431100"/>
    <w:rsid w:val="00432ACF"/>
    <w:rsid w:val="00432DAA"/>
    <w:rsid w:val="00434305"/>
    <w:rsid w:val="004347D3"/>
    <w:rsid w:val="00435A3C"/>
    <w:rsid w:val="00435DF7"/>
    <w:rsid w:val="0044083F"/>
    <w:rsid w:val="00441455"/>
    <w:rsid w:val="00441AE7"/>
    <w:rsid w:val="0044359D"/>
    <w:rsid w:val="00443B74"/>
    <w:rsid w:val="0044443E"/>
    <w:rsid w:val="0044469C"/>
    <w:rsid w:val="00444D45"/>
    <w:rsid w:val="00445574"/>
    <w:rsid w:val="004467FB"/>
    <w:rsid w:val="00450FA3"/>
    <w:rsid w:val="00451D25"/>
    <w:rsid w:val="00452A25"/>
    <w:rsid w:val="00452D6B"/>
    <w:rsid w:val="00453422"/>
    <w:rsid w:val="004539B7"/>
    <w:rsid w:val="00453C7B"/>
    <w:rsid w:val="00454484"/>
    <w:rsid w:val="004544B6"/>
    <w:rsid w:val="004545D8"/>
    <w:rsid w:val="00454D75"/>
    <w:rsid w:val="00454DBF"/>
    <w:rsid w:val="00455092"/>
    <w:rsid w:val="0045517B"/>
    <w:rsid w:val="0045644E"/>
    <w:rsid w:val="00457CD5"/>
    <w:rsid w:val="00460BCC"/>
    <w:rsid w:val="00460CFB"/>
    <w:rsid w:val="004614A0"/>
    <w:rsid w:val="00462700"/>
    <w:rsid w:val="00463054"/>
    <w:rsid w:val="00463063"/>
    <w:rsid w:val="004637B9"/>
    <w:rsid w:val="00463B77"/>
    <w:rsid w:val="00463C7B"/>
    <w:rsid w:val="004644A6"/>
    <w:rsid w:val="00464B75"/>
    <w:rsid w:val="0046550D"/>
    <w:rsid w:val="0046568D"/>
    <w:rsid w:val="004659BD"/>
    <w:rsid w:val="00466552"/>
    <w:rsid w:val="00466827"/>
    <w:rsid w:val="0046753C"/>
    <w:rsid w:val="00470775"/>
    <w:rsid w:val="00471284"/>
    <w:rsid w:val="0047214C"/>
    <w:rsid w:val="00473106"/>
    <w:rsid w:val="00473C51"/>
    <w:rsid w:val="0047407A"/>
    <w:rsid w:val="004746B1"/>
    <w:rsid w:val="00475300"/>
    <w:rsid w:val="004754F1"/>
    <w:rsid w:val="0047583F"/>
    <w:rsid w:val="004769F4"/>
    <w:rsid w:val="00477661"/>
    <w:rsid w:val="0047794B"/>
    <w:rsid w:val="0048365C"/>
    <w:rsid w:val="004842DC"/>
    <w:rsid w:val="00484936"/>
    <w:rsid w:val="00485B64"/>
    <w:rsid w:val="00485C89"/>
    <w:rsid w:val="004866ED"/>
    <w:rsid w:val="0048675E"/>
    <w:rsid w:val="00486BE3"/>
    <w:rsid w:val="00487AEC"/>
    <w:rsid w:val="004905E4"/>
    <w:rsid w:val="00490A89"/>
    <w:rsid w:val="00490AB4"/>
    <w:rsid w:val="004913F8"/>
    <w:rsid w:val="00491A50"/>
    <w:rsid w:val="00491F28"/>
    <w:rsid w:val="00492A68"/>
    <w:rsid w:val="00492F02"/>
    <w:rsid w:val="004939AE"/>
    <w:rsid w:val="00497132"/>
    <w:rsid w:val="00497C6F"/>
    <w:rsid w:val="004A040C"/>
    <w:rsid w:val="004A12DF"/>
    <w:rsid w:val="004A1BA8"/>
    <w:rsid w:val="004A1C79"/>
    <w:rsid w:val="004A2D2C"/>
    <w:rsid w:val="004A2E6A"/>
    <w:rsid w:val="004A2F83"/>
    <w:rsid w:val="004A4853"/>
    <w:rsid w:val="004A4B57"/>
    <w:rsid w:val="004A63FA"/>
    <w:rsid w:val="004A74DF"/>
    <w:rsid w:val="004A7A6B"/>
    <w:rsid w:val="004A7CEB"/>
    <w:rsid w:val="004A7EF3"/>
    <w:rsid w:val="004B070C"/>
    <w:rsid w:val="004B0AF7"/>
    <w:rsid w:val="004B2701"/>
    <w:rsid w:val="004B2E1B"/>
    <w:rsid w:val="004B3D50"/>
    <w:rsid w:val="004B3E66"/>
    <w:rsid w:val="004B3E93"/>
    <w:rsid w:val="004B5B62"/>
    <w:rsid w:val="004B66D0"/>
    <w:rsid w:val="004B72E2"/>
    <w:rsid w:val="004B7605"/>
    <w:rsid w:val="004B7B4E"/>
    <w:rsid w:val="004C002A"/>
    <w:rsid w:val="004C073D"/>
    <w:rsid w:val="004C1CEF"/>
    <w:rsid w:val="004C1FBC"/>
    <w:rsid w:val="004C2408"/>
    <w:rsid w:val="004C36CD"/>
    <w:rsid w:val="004C3F1D"/>
    <w:rsid w:val="004C458D"/>
    <w:rsid w:val="004C5164"/>
    <w:rsid w:val="004C5460"/>
    <w:rsid w:val="004C6404"/>
    <w:rsid w:val="004C6E82"/>
    <w:rsid w:val="004C7556"/>
    <w:rsid w:val="004C759A"/>
    <w:rsid w:val="004C75EA"/>
    <w:rsid w:val="004C7D96"/>
    <w:rsid w:val="004C7E9D"/>
    <w:rsid w:val="004C7F67"/>
    <w:rsid w:val="004D076D"/>
    <w:rsid w:val="004D0EF1"/>
    <w:rsid w:val="004D2253"/>
    <w:rsid w:val="004D3E3C"/>
    <w:rsid w:val="004D4406"/>
    <w:rsid w:val="004D44A6"/>
    <w:rsid w:val="004D7C42"/>
    <w:rsid w:val="004D7E38"/>
    <w:rsid w:val="004E0465"/>
    <w:rsid w:val="004E127B"/>
    <w:rsid w:val="004E1C0A"/>
    <w:rsid w:val="004E23B2"/>
    <w:rsid w:val="004E30C5"/>
    <w:rsid w:val="004E320C"/>
    <w:rsid w:val="004E3690"/>
    <w:rsid w:val="004E3BE4"/>
    <w:rsid w:val="004E4940"/>
    <w:rsid w:val="004E4AA5"/>
    <w:rsid w:val="004E4AEE"/>
    <w:rsid w:val="004E4DB1"/>
    <w:rsid w:val="004E59E3"/>
    <w:rsid w:val="004E5C8F"/>
    <w:rsid w:val="004E5DCF"/>
    <w:rsid w:val="004E67C0"/>
    <w:rsid w:val="004E6D2D"/>
    <w:rsid w:val="004E720A"/>
    <w:rsid w:val="004E7EDB"/>
    <w:rsid w:val="004F158E"/>
    <w:rsid w:val="004F1E38"/>
    <w:rsid w:val="004F2520"/>
    <w:rsid w:val="004F317E"/>
    <w:rsid w:val="004F391A"/>
    <w:rsid w:val="004F3CFB"/>
    <w:rsid w:val="004F6456"/>
    <w:rsid w:val="004F67E1"/>
    <w:rsid w:val="004F692A"/>
    <w:rsid w:val="004F696E"/>
    <w:rsid w:val="004F6C71"/>
    <w:rsid w:val="004F6F2B"/>
    <w:rsid w:val="005006F0"/>
    <w:rsid w:val="00500FF0"/>
    <w:rsid w:val="00501139"/>
    <w:rsid w:val="00502A40"/>
    <w:rsid w:val="00502D95"/>
    <w:rsid w:val="00503304"/>
    <w:rsid w:val="0050363E"/>
    <w:rsid w:val="005039BC"/>
    <w:rsid w:val="00504049"/>
    <w:rsid w:val="005043BB"/>
    <w:rsid w:val="0050472F"/>
    <w:rsid w:val="0050487D"/>
    <w:rsid w:val="00504A3D"/>
    <w:rsid w:val="00505767"/>
    <w:rsid w:val="005073F0"/>
    <w:rsid w:val="005074A7"/>
    <w:rsid w:val="00507F9A"/>
    <w:rsid w:val="00510A28"/>
    <w:rsid w:val="00510A72"/>
    <w:rsid w:val="00510A7B"/>
    <w:rsid w:val="00512C8A"/>
    <w:rsid w:val="00512F6E"/>
    <w:rsid w:val="00513038"/>
    <w:rsid w:val="0051305A"/>
    <w:rsid w:val="005137A8"/>
    <w:rsid w:val="00514174"/>
    <w:rsid w:val="00514DF9"/>
    <w:rsid w:val="00515FD7"/>
    <w:rsid w:val="0051601D"/>
    <w:rsid w:val="00516088"/>
    <w:rsid w:val="00516B0B"/>
    <w:rsid w:val="0051703B"/>
    <w:rsid w:val="00517132"/>
    <w:rsid w:val="00520A63"/>
    <w:rsid w:val="005220EC"/>
    <w:rsid w:val="005227FB"/>
    <w:rsid w:val="00523F95"/>
    <w:rsid w:val="00524204"/>
    <w:rsid w:val="00524A78"/>
    <w:rsid w:val="00524D65"/>
    <w:rsid w:val="0052530D"/>
    <w:rsid w:val="00525B16"/>
    <w:rsid w:val="00525B92"/>
    <w:rsid w:val="0052638C"/>
    <w:rsid w:val="00526540"/>
    <w:rsid w:val="00526FCE"/>
    <w:rsid w:val="00527142"/>
    <w:rsid w:val="00527B99"/>
    <w:rsid w:val="0053043E"/>
    <w:rsid w:val="00531F26"/>
    <w:rsid w:val="00533D04"/>
    <w:rsid w:val="00534804"/>
    <w:rsid w:val="00534BDF"/>
    <w:rsid w:val="00534F9B"/>
    <w:rsid w:val="005354EA"/>
    <w:rsid w:val="00535EC4"/>
    <w:rsid w:val="00535ED9"/>
    <w:rsid w:val="0053692B"/>
    <w:rsid w:val="00536D31"/>
    <w:rsid w:val="00541853"/>
    <w:rsid w:val="00542D11"/>
    <w:rsid w:val="005434E5"/>
    <w:rsid w:val="00543AF7"/>
    <w:rsid w:val="00543BDA"/>
    <w:rsid w:val="005441CC"/>
    <w:rsid w:val="005447AE"/>
    <w:rsid w:val="005452F0"/>
    <w:rsid w:val="0054546C"/>
    <w:rsid w:val="00545983"/>
    <w:rsid w:val="005459D6"/>
    <w:rsid w:val="00546719"/>
    <w:rsid w:val="0054671C"/>
    <w:rsid w:val="00546ED6"/>
    <w:rsid w:val="005479DA"/>
    <w:rsid w:val="00547BCC"/>
    <w:rsid w:val="0055013B"/>
    <w:rsid w:val="00550428"/>
    <w:rsid w:val="00550D18"/>
    <w:rsid w:val="00550D2B"/>
    <w:rsid w:val="00550F6C"/>
    <w:rsid w:val="00551F6F"/>
    <w:rsid w:val="00552EB8"/>
    <w:rsid w:val="005538B4"/>
    <w:rsid w:val="00554395"/>
    <w:rsid w:val="00554EC2"/>
    <w:rsid w:val="00555044"/>
    <w:rsid w:val="00556287"/>
    <w:rsid w:val="00560122"/>
    <w:rsid w:val="00560418"/>
    <w:rsid w:val="00561475"/>
    <w:rsid w:val="00561F97"/>
    <w:rsid w:val="00563855"/>
    <w:rsid w:val="005645D6"/>
    <w:rsid w:val="0056487B"/>
    <w:rsid w:val="00564FB9"/>
    <w:rsid w:val="00566098"/>
    <w:rsid w:val="00566CBF"/>
    <w:rsid w:val="00567399"/>
    <w:rsid w:val="00570A54"/>
    <w:rsid w:val="00570F91"/>
    <w:rsid w:val="0057131F"/>
    <w:rsid w:val="005713B1"/>
    <w:rsid w:val="005717CD"/>
    <w:rsid w:val="005719D8"/>
    <w:rsid w:val="00572147"/>
    <w:rsid w:val="005726C8"/>
    <w:rsid w:val="0057315D"/>
    <w:rsid w:val="00573D9E"/>
    <w:rsid w:val="00574011"/>
    <w:rsid w:val="005746FE"/>
    <w:rsid w:val="00574AA6"/>
    <w:rsid w:val="005751BE"/>
    <w:rsid w:val="00575F7A"/>
    <w:rsid w:val="005763E4"/>
    <w:rsid w:val="00576EBA"/>
    <w:rsid w:val="00577770"/>
    <w:rsid w:val="0057784F"/>
    <w:rsid w:val="005801E3"/>
    <w:rsid w:val="00580855"/>
    <w:rsid w:val="00580B27"/>
    <w:rsid w:val="00581802"/>
    <w:rsid w:val="0058215A"/>
    <w:rsid w:val="00582E9C"/>
    <w:rsid w:val="0058323D"/>
    <w:rsid w:val="005836A8"/>
    <w:rsid w:val="00584262"/>
    <w:rsid w:val="005845BE"/>
    <w:rsid w:val="00585074"/>
    <w:rsid w:val="0058602F"/>
    <w:rsid w:val="00586630"/>
    <w:rsid w:val="00586E5F"/>
    <w:rsid w:val="00587ADD"/>
    <w:rsid w:val="005903EE"/>
    <w:rsid w:val="00593001"/>
    <w:rsid w:val="0059386D"/>
    <w:rsid w:val="005943B1"/>
    <w:rsid w:val="00595BE2"/>
    <w:rsid w:val="00596160"/>
    <w:rsid w:val="005966E2"/>
    <w:rsid w:val="00596844"/>
    <w:rsid w:val="00597007"/>
    <w:rsid w:val="005A0966"/>
    <w:rsid w:val="005A10B0"/>
    <w:rsid w:val="005A11B7"/>
    <w:rsid w:val="005A136B"/>
    <w:rsid w:val="005A1F61"/>
    <w:rsid w:val="005A23F1"/>
    <w:rsid w:val="005A260B"/>
    <w:rsid w:val="005A2F9A"/>
    <w:rsid w:val="005A3773"/>
    <w:rsid w:val="005A45A2"/>
    <w:rsid w:val="005A4A1B"/>
    <w:rsid w:val="005A5105"/>
    <w:rsid w:val="005A62E7"/>
    <w:rsid w:val="005A7349"/>
    <w:rsid w:val="005A7467"/>
    <w:rsid w:val="005A7830"/>
    <w:rsid w:val="005A7FCE"/>
    <w:rsid w:val="005B0D8B"/>
    <w:rsid w:val="005B0F3F"/>
    <w:rsid w:val="005B1C45"/>
    <w:rsid w:val="005B2AD9"/>
    <w:rsid w:val="005B348A"/>
    <w:rsid w:val="005B391D"/>
    <w:rsid w:val="005B4903"/>
    <w:rsid w:val="005B5059"/>
    <w:rsid w:val="005B51CE"/>
    <w:rsid w:val="005B5501"/>
    <w:rsid w:val="005B5885"/>
    <w:rsid w:val="005B5CD7"/>
    <w:rsid w:val="005B668B"/>
    <w:rsid w:val="005B6CF6"/>
    <w:rsid w:val="005B6ECC"/>
    <w:rsid w:val="005B6FB4"/>
    <w:rsid w:val="005B70DF"/>
    <w:rsid w:val="005B7310"/>
    <w:rsid w:val="005B7422"/>
    <w:rsid w:val="005C0996"/>
    <w:rsid w:val="005C29B8"/>
    <w:rsid w:val="005C49CD"/>
    <w:rsid w:val="005C52E8"/>
    <w:rsid w:val="005C5D9D"/>
    <w:rsid w:val="005C5F21"/>
    <w:rsid w:val="005C643A"/>
    <w:rsid w:val="005C6C02"/>
    <w:rsid w:val="005C7156"/>
    <w:rsid w:val="005C7620"/>
    <w:rsid w:val="005C7F02"/>
    <w:rsid w:val="005D0C75"/>
    <w:rsid w:val="005D1D37"/>
    <w:rsid w:val="005D3B51"/>
    <w:rsid w:val="005D4171"/>
    <w:rsid w:val="005D6A95"/>
    <w:rsid w:val="005D6B2C"/>
    <w:rsid w:val="005D6D9C"/>
    <w:rsid w:val="005D7738"/>
    <w:rsid w:val="005E0C37"/>
    <w:rsid w:val="005E2335"/>
    <w:rsid w:val="005E34CA"/>
    <w:rsid w:val="005E3C18"/>
    <w:rsid w:val="005E3DDF"/>
    <w:rsid w:val="005E4929"/>
    <w:rsid w:val="005E4CD4"/>
    <w:rsid w:val="005E53C5"/>
    <w:rsid w:val="005E6A3B"/>
    <w:rsid w:val="005E6C12"/>
    <w:rsid w:val="005E76C4"/>
    <w:rsid w:val="005E7881"/>
    <w:rsid w:val="005E78E0"/>
    <w:rsid w:val="005E7EAC"/>
    <w:rsid w:val="005F0501"/>
    <w:rsid w:val="005F0D9C"/>
    <w:rsid w:val="005F1C75"/>
    <w:rsid w:val="005F284E"/>
    <w:rsid w:val="005F3768"/>
    <w:rsid w:val="005F3E8D"/>
    <w:rsid w:val="005F3FEF"/>
    <w:rsid w:val="005F7D73"/>
    <w:rsid w:val="006002B2"/>
    <w:rsid w:val="0060093F"/>
    <w:rsid w:val="0060143C"/>
    <w:rsid w:val="006015CE"/>
    <w:rsid w:val="006016E0"/>
    <w:rsid w:val="00601C9B"/>
    <w:rsid w:val="006027D8"/>
    <w:rsid w:val="00602827"/>
    <w:rsid w:val="00603876"/>
    <w:rsid w:val="00604784"/>
    <w:rsid w:val="00606419"/>
    <w:rsid w:val="006068CF"/>
    <w:rsid w:val="00606D89"/>
    <w:rsid w:val="00607D29"/>
    <w:rsid w:val="00611B87"/>
    <w:rsid w:val="0061269B"/>
    <w:rsid w:val="00612952"/>
    <w:rsid w:val="00612992"/>
    <w:rsid w:val="00614AE4"/>
    <w:rsid w:val="00614CC1"/>
    <w:rsid w:val="006153F1"/>
    <w:rsid w:val="00615A9D"/>
    <w:rsid w:val="00615DE4"/>
    <w:rsid w:val="006162BE"/>
    <w:rsid w:val="00616BBB"/>
    <w:rsid w:val="00617387"/>
    <w:rsid w:val="00623007"/>
    <w:rsid w:val="00623D1A"/>
    <w:rsid w:val="00624387"/>
    <w:rsid w:val="00624D8F"/>
    <w:rsid w:val="006252D8"/>
    <w:rsid w:val="006259BC"/>
    <w:rsid w:val="0062636B"/>
    <w:rsid w:val="00626526"/>
    <w:rsid w:val="00626922"/>
    <w:rsid w:val="0062725B"/>
    <w:rsid w:val="006277E5"/>
    <w:rsid w:val="00630A7C"/>
    <w:rsid w:val="00632182"/>
    <w:rsid w:val="00632AE0"/>
    <w:rsid w:val="00632BBB"/>
    <w:rsid w:val="00633C17"/>
    <w:rsid w:val="00633EFC"/>
    <w:rsid w:val="006347D2"/>
    <w:rsid w:val="00635B32"/>
    <w:rsid w:val="00636477"/>
    <w:rsid w:val="00636E3E"/>
    <w:rsid w:val="0063726A"/>
    <w:rsid w:val="006379F7"/>
    <w:rsid w:val="00637E4D"/>
    <w:rsid w:val="00640140"/>
    <w:rsid w:val="00640620"/>
    <w:rsid w:val="00640B15"/>
    <w:rsid w:val="00641A1F"/>
    <w:rsid w:val="00642101"/>
    <w:rsid w:val="00645549"/>
    <w:rsid w:val="00645691"/>
    <w:rsid w:val="00645904"/>
    <w:rsid w:val="00645EB1"/>
    <w:rsid w:val="0064674C"/>
    <w:rsid w:val="00646A2B"/>
    <w:rsid w:val="006474DB"/>
    <w:rsid w:val="00651815"/>
    <w:rsid w:val="00651890"/>
    <w:rsid w:val="00651ACB"/>
    <w:rsid w:val="00651C47"/>
    <w:rsid w:val="00652AB2"/>
    <w:rsid w:val="00654EC0"/>
    <w:rsid w:val="0065525B"/>
    <w:rsid w:val="00655535"/>
    <w:rsid w:val="00655D4F"/>
    <w:rsid w:val="00656DE5"/>
    <w:rsid w:val="006607DD"/>
    <w:rsid w:val="00660F6E"/>
    <w:rsid w:val="00661DDB"/>
    <w:rsid w:val="0066210D"/>
    <w:rsid w:val="006629A7"/>
    <w:rsid w:val="006629F2"/>
    <w:rsid w:val="00662E1A"/>
    <w:rsid w:val="006640E5"/>
    <w:rsid w:val="00664370"/>
    <w:rsid w:val="006646F1"/>
    <w:rsid w:val="00664929"/>
    <w:rsid w:val="00664BCB"/>
    <w:rsid w:val="00664F62"/>
    <w:rsid w:val="00665436"/>
    <w:rsid w:val="006655E1"/>
    <w:rsid w:val="00665826"/>
    <w:rsid w:val="006664AC"/>
    <w:rsid w:val="00666F73"/>
    <w:rsid w:val="00667AB0"/>
    <w:rsid w:val="00670B49"/>
    <w:rsid w:val="00672060"/>
    <w:rsid w:val="00672BFD"/>
    <w:rsid w:val="006732CE"/>
    <w:rsid w:val="006734D0"/>
    <w:rsid w:val="0067369E"/>
    <w:rsid w:val="00673E61"/>
    <w:rsid w:val="00676563"/>
    <w:rsid w:val="00676D70"/>
    <w:rsid w:val="006770F4"/>
    <w:rsid w:val="00677A84"/>
    <w:rsid w:val="0068026D"/>
    <w:rsid w:val="00680A27"/>
    <w:rsid w:val="0068159A"/>
    <w:rsid w:val="006816A4"/>
    <w:rsid w:val="006819B8"/>
    <w:rsid w:val="00682B05"/>
    <w:rsid w:val="00682FAD"/>
    <w:rsid w:val="006840A6"/>
    <w:rsid w:val="006850CD"/>
    <w:rsid w:val="00685AAB"/>
    <w:rsid w:val="0068636E"/>
    <w:rsid w:val="00686545"/>
    <w:rsid w:val="006865E8"/>
    <w:rsid w:val="00686739"/>
    <w:rsid w:val="00687A43"/>
    <w:rsid w:val="00687DF2"/>
    <w:rsid w:val="00693184"/>
    <w:rsid w:val="006934FA"/>
    <w:rsid w:val="006937CA"/>
    <w:rsid w:val="00693ACD"/>
    <w:rsid w:val="00696730"/>
    <w:rsid w:val="00697013"/>
    <w:rsid w:val="006974C9"/>
    <w:rsid w:val="00697502"/>
    <w:rsid w:val="006979C6"/>
    <w:rsid w:val="00697AEB"/>
    <w:rsid w:val="006A01CA"/>
    <w:rsid w:val="006A07AA"/>
    <w:rsid w:val="006A0E22"/>
    <w:rsid w:val="006A13B2"/>
    <w:rsid w:val="006A1882"/>
    <w:rsid w:val="006A25E5"/>
    <w:rsid w:val="006A292D"/>
    <w:rsid w:val="006A2B46"/>
    <w:rsid w:val="006A336D"/>
    <w:rsid w:val="006A37B9"/>
    <w:rsid w:val="006A382B"/>
    <w:rsid w:val="006A38FA"/>
    <w:rsid w:val="006A3A54"/>
    <w:rsid w:val="006A43E8"/>
    <w:rsid w:val="006A5758"/>
    <w:rsid w:val="006A57DC"/>
    <w:rsid w:val="006A7B5E"/>
    <w:rsid w:val="006B006F"/>
    <w:rsid w:val="006B0FAB"/>
    <w:rsid w:val="006B11CE"/>
    <w:rsid w:val="006B15C9"/>
    <w:rsid w:val="006B243E"/>
    <w:rsid w:val="006B2593"/>
    <w:rsid w:val="006B2672"/>
    <w:rsid w:val="006B3077"/>
    <w:rsid w:val="006B3665"/>
    <w:rsid w:val="006B3E1B"/>
    <w:rsid w:val="006B479F"/>
    <w:rsid w:val="006B4FB3"/>
    <w:rsid w:val="006B54BF"/>
    <w:rsid w:val="006B5F44"/>
    <w:rsid w:val="006B5F90"/>
    <w:rsid w:val="006B62E4"/>
    <w:rsid w:val="006C037A"/>
    <w:rsid w:val="006C08C9"/>
    <w:rsid w:val="006C0A9F"/>
    <w:rsid w:val="006C1BBA"/>
    <w:rsid w:val="006C2079"/>
    <w:rsid w:val="006C27CF"/>
    <w:rsid w:val="006C2883"/>
    <w:rsid w:val="006C292C"/>
    <w:rsid w:val="006C2C7D"/>
    <w:rsid w:val="006C3EE3"/>
    <w:rsid w:val="006C50DB"/>
    <w:rsid w:val="006C5A62"/>
    <w:rsid w:val="006C5D68"/>
    <w:rsid w:val="006C6976"/>
    <w:rsid w:val="006C6DD0"/>
    <w:rsid w:val="006D04EA"/>
    <w:rsid w:val="006D0B16"/>
    <w:rsid w:val="006D0E6F"/>
    <w:rsid w:val="006D16C4"/>
    <w:rsid w:val="006D2718"/>
    <w:rsid w:val="006D38B6"/>
    <w:rsid w:val="006D3AAE"/>
    <w:rsid w:val="006D3E96"/>
    <w:rsid w:val="006D3F53"/>
    <w:rsid w:val="006D4515"/>
    <w:rsid w:val="006D4BB1"/>
    <w:rsid w:val="006D535F"/>
    <w:rsid w:val="006D5B9F"/>
    <w:rsid w:val="006D6593"/>
    <w:rsid w:val="006D67F7"/>
    <w:rsid w:val="006D68BF"/>
    <w:rsid w:val="006D77CA"/>
    <w:rsid w:val="006E17AA"/>
    <w:rsid w:val="006E1A41"/>
    <w:rsid w:val="006E2F84"/>
    <w:rsid w:val="006E32AC"/>
    <w:rsid w:val="006E38A1"/>
    <w:rsid w:val="006E5E20"/>
    <w:rsid w:val="006E6D7E"/>
    <w:rsid w:val="006E7375"/>
    <w:rsid w:val="006E76EB"/>
    <w:rsid w:val="006E7900"/>
    <w:rsid w:val="006F03A8"/>
    <w:rsid w:val="006F1344"/>
    <w:rsid w:val="006F201D"/>
    <w:rsid w:val="006F2ACA"/>
    <w:rsid w:val="006F2ADC"/>
    <w:rsid w:val="006F2BFE"/>
    <w:rsid w:val="006F31E9"/>
    <w:rsid w:val="006F32D1"/>
    <w:rsid w:val="006F398E"/>
    <w:rsid w:val="006F3CD9"/>
    <w:rsid w:val="006F4F84"/>
    <w:rsid w:val="006F6284"/>
    <w:rsid w:val="006F64BD"/>
    <w:rsid w:val="006F7737"/>
    <w:rsid w:val="007002C5"/>
    <w:rsid w:val="00700AC4"/>
    <w:rsid w:val="00700CA8"/>
    <w:rsid w:val="00704387"/>
    <w:rsid w:val="007048AB"/>
    <w:rsid w:val="00704EBF"/>
    <w:rsid w:val="0070566D"/>
    <w:rsid w:val="00707019"/>
    <w:rsid w:val="00707669"/>
    <w:rsid w:val="0070797B"/>
    <w:rsid w:val="00707A4F"/>
    <w:rsid w:val="007110D4"/>
    <w:rsid w:val="00711CBA"/>
    <w:rsid w:val="00711FB5"/>
    <w:rsid w:val="0071226D"/>
    <w:rsid w:val="007124D9"/>
    <w:rsid w:val="00712A01"/>
    <w:rsid w:val="0071346A"/>
    <w:rsid w:val="00713B2D"/>
    <w:rsid w:val="0071495E"/>
    <w:rsid w:val="00714AD7"/>
    <w:rsid w:val="00714F58"/>
    <w:rsid w:val="00715308"/>
    <w:rsid w:val="007161D3"/>
    <w:rsid w:val="007163A1"/>
    <w:rsid w:val="007173DC"/>
    <w:rsid w:val="00717DA6"/>
    <w:rsid w:val="00722247"/>
    <w:rsid w:val="00722FBF"/>
    <w:rsid w:val="00722FC2"/>
    <w:rsid w:val="00723833"/>
    <w:rsid w:val="0072508B"/>
    <w:rsid w:val="00725949"/>
    <w:rsid w:val="00726521"/>
    <w:rsid w:val="00727FA2"/>
    <w:rsid w:val="00731A25"/>
    <w:rsid w:val="007322D9"/>
    <w:rsid w:val="0073274E"/>
    <w:rsid w:val="00732A36"/>
    <w:rsid w:val="00732BC0"/>
    <w:rsid w:val="00733A5E"/>
    <w:rsid w:val="00733CA0"/>
    <w:rsid w:val="00733D03"/>
    <w:rsid w:val="0073720F"/>
    <w:rsid w:val="00737796"/>
    <w:rsid w:val="0073794D"/>
    <w:rsid w:val="00740D93"/>
    <w:rsid w:val="00740F14"/>
    <w:rsid w:val="0074165C"/>
    <w:rsid w:val="007428E4"/>
    <w:rsid w:val="007432CA"/>
    <w:rsid w:val="007439EB"/>
    <w:rsid w:val="00743CB4"/>
    <w:rsid w:val="00743F0A"/>
    <w:rsid w:val="0074403A"/>
    <w:rsid w:val="00744319"/>
    <w:rsid w:val="007444E8"/>
    <w:rsid w:val="0074548E"/>
    <w:rsid w:val="00745773"/>
    <w:rsid w:val="007458C3"/>
    <w:rsid w:val="00746800"/>
    <w:rsid w:val="007501A8"/>
    <w:rsid w:val="00750D5E"/>
    <w:rsid w:val="00750EDD"/>
    <w:rsid w:val="00750EE1"/>
    <w:rsid w:val="007521CB"/>
    <w:rsid w:val="0075267E"/>
    <w:rsid w:val="00752B4D"/>
    <w:rsid w:val="00754BF9"/>
    <w:rsid w:val="00755402"/>
    <w:rsid w:val="007566FA"/>
    <w:rsid w:val="00756A04"/>
    <w:rsid w:val="00756B26"/>
    <w:rsid w:val="00756D75"/>
    <w:rsid w:val="00756EDF"/>
    <w:rsid w:val="00757236"/>
    <w:rsid w:val="007609A2"/>
    <w:rsid w:val="00761D76"/>
    <w:rsid w:val="0076407F"/>
    <w:rsid w:val="00765751"/>
    <w:rsid w:val="00765C43"/>
    <w:rsid w:val="00765EFB"/>
    <w:rsid w:val="007669A5"/>
    <w:rsid w:val="00766B63"/>
    <w:rsid w:val="007671CA"/>
    <w:rsid w:val="00767896"/>
    <w:rsid w:val="00767C61"/>
    <w:rsid w:val="0077008A"/>
    <w:rsid w:val="00771473"/>
    <w:rsid w:val="007730FE"/>
    <w:rsid w:val="007737B2"/>
    <w:rsid w:val="00773C1F"/>
    <w:rsid w:val="00773C73"/>
    <w:rsid w:val="00774605"/>
    <w:rsid w:val="00774D82"/>
    <w:rsid w:val="00774DA4"/>
    <w:rsid w:val="00776599"/>
    <w:rsid w:val="007810D6"/>
    <w:rsid w:val="0078114B"/>
    <w:rsid w:val="00781DD2"/>
    <w:rsid w:val="0078264D"/>
    <w:rsid w:val="00783ECF"/>
    <w:rsid w:val="0078413A"/>
    <w:rsid w:val="0078620C"/>
    <w:rsid w:val="00786C0F"/>
    <w:rsid w:val="0078700E"/>
    <w:rsid w:val="0078793A"/>
    <w:rsid w:val="0079093E"/>
    <w:rsid w:val="00790CA3"/>
    <w:rsid w:val="007919A6"/>
    <w:rsid w:val="00794015"/>
    <w:rsid w:val="0079548C"/>
    <w:rsid w:val="007954C2"/>
    <w:rsid w:val="007959E8"/>
    <w:rsid w:val="00795CE3"/>
    <w:rsid w:val="00795E9C"/>
    <w:rsid w:val="007A0521"/>
    <w:rsid w:val="007A061E"/>
    <w:rsid w:val="007A1107"/>
    <w:rsid w:val="007A1E74"/>
    <w:rsid w:val="007A2E12"/>
    <w:rsid w:val="007A32B7"/>
    <w:rsid w:val="007A3475"/>
    <w:rsid w:val="007A41C8"/>
    <w:rsid w:val="007A54CE"/>
    <w:rsid w:val="007A55FE"/>
    <w:rsid w:val="007A5D35"/>
    <w:rsid w:val="007A7462"/>
    <w:rsid w:val="007A7FFA"/>
    <w:rsid w:val="007B04EB"/>
    <w:rsid w:val="007B0BA7"/>
    <w:rsid w:val="007B0D1B"/>
    <w:rsid w:val="007B0D4F"/>
    <w:rsid w:val="007B1304"/>
    <w:rsid w:val="007B4B58"/>
    <w:rsid w:val="007B4C71"/>
    <w:rsid w:val="007B5A3D"/>
    <w:rsid w:val="007B5B95"/>
    <w:rsid w:val="007B68EA"/>
    <w:rsid w:val="007B6FEC"/>
    <w:rsid w:val="007B7A73"/>
    <w:rsid w:val="007C19E8"/>
    <w:rsid w:val="007C2D89"/>
    <w:rsid w:val="007C3564"/>
    <w:rsid w:val="007C4473"/>
    <w:rsid w:val="007C4593"/>
    <w:rsid w:val="007C4C1F"/>
    <w:rsid w:val="007C5309"/>
    <w:rsid w:val="007C560B"/>
    <w:rsid w:val="007C6069"/>
    <w:rsid w:val="007C7D7A"/>
    <w:rsid w:val="007C7E44"/>
    <w:rsid w:val="007C7E9E"/>
    <w:rsid w:val="007C7F71"/>
    <w:rsid w:val="007D06C4"/>
    <w:rsid w:val="007D0988"/>
    <w:rsid w:val="007D0AAC"/>
    <w:rsid w:val="007D1352"/>
    <w:rsid w:val="007D1AAF"/>
    <w:rsid w:val="007D2508"/>
    <w:rsid w:val="007D346A"/>
    <w:rsid w:val="007D3920"/>
    <w:rsid w:val="007D599C"/>
    <w:rsid w:val="007D6518"/>
    <w:rsid w:val="007D6D09"/>
    <w:rsid w:val="007D6E0F"/>
    <w:rsid w:val="007D76BD"/>
    <w:rsid w:val="007E0BF1"/>
    <w:rsid w:val="007E2243"/>
    <w:rsid w:val="007E2267"/>
    <w:rsid w:val="007E24F9"/>
    <w:rsid w:val="007E2A20"/>
    <w:rsid w:val="007E4B95"/>
    <w:rsid w:val="007E5C69"/>
    <w:rsid w:val="007E7AC5"/>
    <w:rsid w:val="007F02D8"/>
    <w:rsid w:val="007F0ED8"/>
    <w:rsid w:val="007F0F63"/>
    <w:rsid w:val="007F2779"/>
    <w:rsid w:val="007F38AF"/>
    <w:rsid w:val="007F4086"/>
    <w:rsid w:val="007F514C"/>
    <w:rsid w:val="007F75CE"/>
    <w:rsid w:val="007F7750"/>
    <w:rsid w:val="007F7D14"/>
    <w:rsid w:val="0080069E"/>
    <w:rsid w:val="00800E54"/>
    <w:rsid w:val="008013A4"/>
    <w:rsid w:val="008027CE"/>
    <w:rsid w:val="00802D86"/>
    <w:rsid w:val="00802F42"/>
    <w:rsid w:val="00804383"/>
    <w:rsid w:val="00804BB7"/>
    <w:rsid w:val="008061A4"/>
    <w:rsid w:val="008064A9"/>
    <w:rsid w:val="00807FAB"/>
    <w:rsid w:val="00810257"/>
    <w:rsid w:val="008104F5"/>
    <w:rsid w:val="008109ED"/>
    <w:rsid w:val="00811072"/>
    <w:rsid w:val="00811369"/>
    <w:rsid w:val="00811A6A"/>
    <w:rsid w:val="00811DF1"/>
    <w:rsid w:val="00811FAC"/>
    <w:rsid w:val="0081266A"/>
    <w:rsid w:val="008140D4"/>
    <w:rsid w:val="008141FD"/>
    <w:rsid w:val="00814E50"/>
    <w:rsid w:val="00815419"/>
    <w:rsid w:val="008154D8"/>
    <w:rsid w:val="008163C8"/>
    <w:rsid w:val="00817325"/>
    <w:rsid w:val="00817A19"/>
    <w:rsid w:val="00817C1D"/>
    <w:rsid w:val="008209E6"/>
    <w:rsid w:val="008212DF"/>
    <w:rsid w:val="00821ACB"/>
    <w:rsid w:val="00821DDB"/>
    <w:rsid w:val="00822F6D"/>
    <w:rsid w:val="00823303"/>
    <w:rsid w:val="008233B2"/>
    <w:rsid w:val="00823A9F"/>
    <w:rsid w:val="00823C85"/>
    <w:rsid w:val="00823F47"/>
    <w:rsid w:val="0082480D"/>
    <w:rsid w:val="00825138"/>
    <w:rsid w:val="008269DB"/>
    <w:rsid w:val="008269DD"/>
    <w:rsid w:val="00826F34"/>
    <w:rsid w:val="00830621"/>
    <w:rsid w:val="00830FCC"/>
    <w:rsid w:val="00832B41"/>
    <w:rsid w:val="0083348C"/>
    <w:rsid w:val="0083446B"/>
    <w:rsid w:val="00834647"/>
    <w:rsid w:val="00835649"/>
    <w:rsid w:val="00835EA0"/>
    <w:rsid w:val="008373D3"/>
    <w:rsid w:val="00840617"/>
    <w:rsid w:val="00840664"/>
    <w:rsid w:val="00842691"/>
    <w:rsid w:val="00842716"/>
    <w:rsid w:val="00842A47"/>
    <w:rsid w:val="00842EF3"/>
    <w:rsid w:val="00843423"/>
    <w:rsid w:val="00843C13"/>
    <w:rsid w:val="008454F8"/>
    <w:rsid w:val="00845797"/>
    <w:rsid w:val="00845A81"/>
    <w:rsid w:val="00846709"/>
    <w:rsid w:val="00847165"/>
    <w:rsid w:val="00847952"/>
    <w:rsid w:val="00847A43"/>
    <w:rsid w:val="0085049C"/>
    <w:rsid w:val="00851342"/>
    <w:rsid w:val="0085173A"/>
    <w:rsid w:val="00851EF8"/>
    <w:rsid w:val="0085232F"/>
    <w:rsid w:val="008532FB"/>
    <w:rsid w:val="00853BF3"/>
    <w:rsid w:val="00853FF3"/>
    <w:rsid w:val="008552BA"/>
    <w:rsid w:val="008603CE"/>
    <w:rsid w:val="00860976"/>
    <w:rsid w:val="008609A9"/>
    <w:rsid w:val="008615D6"/>
    <w:rsid w:val="008620FC"/>
    <w:rsid w:val="008623C8"/>
    <w:rsid w:val="008627A5"/>
    <w:rsid w:val="00863E05"/>
    <w:rsid w:val="00863F85"/>
    <w:rsid w:val="00865ACA"/>
    <w:rsid w:val="00865D28"/>
    <w:rsid w:val="00865F85"/>
    <w:rsid w:val="008661F0"/>
    <w:rsid w:val="008667CB"/>
    <w:rsid w:val="0086743C"/>
    <w:rsid w:val="00867C10"/>
    <w:rsid w:val="00867D9C"/>
    <w:rsid w:val="00870439"/>
    <w:rsid w:val="00870DA1"/>
    <w:rsid w:val="00870F52"/>
    <w:rsid w:val="008713E9"/>
    <w:rsid w:val="00871DD1"/>
    <w:rsid w:val="00872231"/>
    <w:rsid w:val="00872B0A"/>
    <w:rsid w:val="00872D8F"/>
    <w:rsid w:val="008760C2"/>
    <w:rsid w:val="00876709"/>
    <w:rsid w:val="008769D1"/>
    <w:rsid w:val="0088262C"/>
    <w:rsid w:val="00882E44"/>
    <w:rsid w:val="00883093"/>
    <w:rsid w:val="00883F93"/>
    <w:rsid w:val="00884370"/>
    <w:rsid w:val="008846DE"/>
    <w:rsid w:val="00884DB3"/>
    <w:rsid w:val="00885A9D"/>
    <w:rsid w:val="00886135"/>
    <w:rsid w:val="008864F6"/>
    <w:rsid w:val="00886DF4"/>
    <w:rsid w:val="00887615"/>
    <w:rsid w:val="00887ED1"/>
    <w:rsid w:val="0089049D"/>
    <w:rsid w:val="00890B6F"/>
    <w:rsid w:val="00890CC6"/>
    <w:rsid w:val="00891784"/>
    <w:rsid w:val="00892397"/>
    <w:rsid w:val="008928C9"/>
    <w:rsid w:val="00892F0E"/>
    <w:rsid w:val="00893310"/>
    <w:rsid w:val="008933A3"/>
    <w:rsid w:val="008934FE"/>
    <w:rsid w:val="008938DC"/>
    <w:rsid w:val="00893FD1"/>
    <w:rsid w:val="00894456"/>
    <w:rsid w:val="00894836"/>
    <w:rsid w:val="00895172"/>
    <w:rsid w:val="00895680"/>
    <w:rsid w:val="00895CAA"/>
    <w:rsid w:val="00896DFF"/>
    <w:rsid w:val="0089762C"/>
    <w:rsid w:val="00897B72"/>
    <w:rsid w:val="008A1619"/>
    <w:rsid w:val="008A1893"/>
    <w:rsid w:val="008A2018"/>
    <w:rsid w:val="008A2D41"/>
    <w:rsid w:val="008A4FB4"/>
    <w:rsid w:val="008A5296"/>
    <w:rsid w:val="008A558D"/>
    <w:rsid w:val="008A5B96"/>
    <w:rsid w:val="008A5FF5"/>
    <w:rsid w:val="008A769A"/>
    <w:rsid w:val="008A79EB"/>
    <w:rsid w:val="008B0912"/>
    <w:rsid w:val="008B0C9C"/>
    <w:rsid w:val="008B1407"/>
    <w:rsid w:val="008B166D"/>
    <w:rsid w:val="008B16A0"/>
    <w:rsid w:val="008B17A3"/>
    <w:rsid w:val="008B17F4"/>
    <w:rsid w:val="008B23F1"/>
    <w:rsid w:val="008B3615"/>
    <w:rsid w:val="008B40CF"/>
    <w:rsid w:val="008B4AC4"/>
    <w:rsid w:val="008B50C8"/>
    <w:rsid w:val="008B5281"/>
    <w:rsid w:val="008B6505"/>
    <w:rsid w:val="008B73C3"/>
    <w:rsid w:val="008B7754"/>
    <w:rsid w:val="008B7E05"/>
    <w:rsid w:val="008C0EF7"/>
    <w:rsid w:val="008C1797"/>
    <w:rsid w:val="008C1B99"/>
    <w:rsid w:val="008C219C"/>
    <w:rsid w:val="008C475E"/>
    <w:rsid w:val="008C4790"/>
    <w:rsid w:val="008C4A4E"/>
    <w:rsid w:val="008C619A"/>
    <w:rsid w:val="008C61E1"/>
    <w:rsid w:val="008C6E4B"/>
    <w:rsid w:val="008D029F"/>
    <w:rsid w:val="008D0CE8"/>
    <w:rsid w:val="008D11A5"/>
    <w:rsid w:val="008D27DD"/>
    <w:rsid w:val="008D2B98"/>
    <w:rsid w:val="008D2D1D"/>
    <w:rsid w:val="008D3931"/>
    <w:rsid w:val="008D453D"/>
    <w:rsid w:val="008D4D66"/>
    <w:rsid w:val="008D53AD"/>
    <w:rsid w:val="008D562B"/>
    <w:rsid w:val="008D5733"/>
    <w:rsid w:val="008D622B"/>
    <w:rsid w:val="008D666C"/>
    <w:rsid w:val="008D71B0"/>
    <w:rsid w:val="008D732D"/>
    <w:rsid w:val="008D7B54"/>
    <w:rsid w:val="008D7D14"/>
    <w:rsid w:val="008E0C9D"/>
    <w:rsid w:val="008E1027"/>
    <w:rsid w:val="008E1648"/>
    <w:rsid w:val="008E1B3E"/>
    <w:rsid w:val="008E1BA2"/>
    <w:rsid w:val="008E1F86"/>
    <w:rsid w:val="008E2319"/>
    <w:rsid w:val="008E4BB6"/>
    <w:rsid w:val="008E5518"/>
    <w:rsid w:val="008E5AE4"/>
    <w:rsid w:val="008E6A84"/>
    <w:rsid w:val="008E7488"/>
    <w:rsid w:val="008F0CDC"/>
    <w:rsid w:val="008F1699"/>
    <w:rsid w:val="008F17A3"/>
    <w:rsid w:val="008F19C3"/>
    <w:rsid w:val="008F1ED3"/>
    <w:rsid w:val="008F2EDD"/>
    <w:rsid w:val="008F31B0"/>
    <w:rsid w:val="008F36B2"/>
    <w:rsid w:val="008F4382"/>
    <w:rsid w:val="008F4500"/>
    <w:rsid w:val="008F480A"/>
    <w:rsid w:val="008F4C29"/>
    <w:rsid w:val="008F4DD8"/>
    <w:rsid w:val="008F5FE3"/>
    <w:rsid w:val="008F6F25"/>
    <w:rsid w:val="008F70BD"/>
    <w:rsid w:val="008F788F"/>
    <w:rsid w:val="008F7EA2"/>
    <w:rsid w:val="0090007C"/>
    <w:rsid w:val="00900FED"/>
    <w:rsid w:val="00901F0A"/>
    <w:rsid w:val="00902722"/>
    <w:rsid w:val="009027BC"/>
    <w:rsid w:val="009048C2"/>
    <w:rsid w:val="00904B0E"/>
    <w:rsid w:val="00905B28"/>
    <w:rsid w:val="009062E6"/>
    <w:rsid w:val="00906EA4"/>
    <w:rsid w:val="00907484"/>
    <w:rsid w:val="00911BE5"/>
    <w:rsid w:val="009135B9"/>
    <w:rsid w:val="00913CA9"/>
    <w:rsid w:val="00914098"/>
    <w:rsid w:val="009142A5"/>
    <w:rsid w:val="009145AE"/>
    <w:rsid w:val="009146CE"/>
    <w:rsid w:val="00914AC8"/>
    <w:rsid w:val="00914CA7"/>
    <w:rsid w:val="00915B93"/>
    <w:rsid w:val="00915C3E"/>
    <w:rsid w:val="009161A8"/>
    <w:rsid w:val="0091673D"/>
    <w:rsid w:val="009178AA"/>
    <w:rsid w:val="009208CF"/>
    <w:rsid w:val="009245F5"/>
    <w:rsid w:val="009249EC"/>
    <w:rsid w:val="009253C4"/>
    <w:rsid w:val="009264AD"/>
    <w:rsid w:val="009265C7"/>
    <w:rsid w:val="009273B3"/>
    <w:rsid w:val="009305B5"/>
    <w:rsid w:val="009309E4"/>
    <w:rsid w:val="00932A72"/>
    <w:rsid w:val="009345E0"/>
    <w:rsid w:val="009347EC"/>
    <w:rsid w:val="00934C12"/>
    <w:rsid w:val="00936974"/>
    <w:rsid w:val="009371E7"/>
    <w:rsid w:val="00937423"/>
    <w:rsid w:val="0093796E"/>
    <w:rsid w:val="0094079F"/>
    <w:rsid w:val="009429D5"/>
    <w:rsid w:val="00942BF1"/>
    <w:rsid w:val="00944305"/>
    <w:rsid w:val="00945180"/>
    <w:rsid w:val="00945428"/>
    <w:rsid w:val="0094607B"/>
    <w:rsid w:val="009460F2"/>
    <w:rsid w:val="009502F1"/>
    <w:rsid w:val="009505E5"/>
    <w:rsid w:val="00952C52"/>
    <w:rsid w:val="00953604"/>
    <w:rsid w:val="00954542"/>
    <w:rsid w:val="009548C0"/>
    <w:rsid w:val="00955AD6"/>
    <w:rsid w:val="00956711"/>
    <w:rsid w:val="00956F7F"/>
    <w:rsid w:val="009570E9"/>
    <w:rsid w:val="009572D5"/>
    <w:rsid w:val="00960282"/>
    <w:rsid w:val="00960442"/>
    <w:rsid w:val="009610DC"/>
    <w:rsid w:val="0096136D"/>
    <w:rsid w:val="00961490"/>
    <w:rsid w:val="009614FA"/>
    <w:rsid w:val="00961DCE"/>
    <w:rsid w:val="00961DE7"/>
    <w:rsid w:val="00961F6C"/>
    <w:rsid w:val="00962B81"/>
    <w:rsid w:val="009630FD"/>
    <w:rsid w:val="0096381A"/>
    <w:rsid w:val="00965136"/>
    <w:rsid w:val="00965E04"/>
    <w:rsid w:val="00966B99"/>
    <w:rsid w:val="00967112"/>
    <w:rsid w:val="00967184"/>
    <w:rsid w:val="009674AD"/>
    <w:rsid w:val="00967C06"/>
    <w:rsid w:val="0097094E"/>
    <w:rsid w:val="00970CDC"/>
    <w:rsid w:val="0097255D"/>
    <w:rsid w:val="00973DC2"/>
    <w:rsid w:val="00973E78"/>
    <w:rsid w:val="00974825"/>
    <w:rsid w:val="00974DF1"/>
    <w:rsid w:val="00977010"/>
    <w:rsid w:val="00977291"/>
    <w:rsid w:val="00977D02"/>
    <w:rsid w:val="0098011F"/>
    <w:rsid w:val="009809BB"/>
    <w:rsid w:val="00980DF3"/>
    <w:rsid w:val="00982D22"/>
    <w:rsid w:val="00982E3B"/>
    <w:rsid w:val="0098364B"/>
    <w:rsid w:val="00983738"/>
    <w:rsid w:val="00983BF9"/>
    <w:rsid w:val="00984DDD"/>
    <w:rsid w:val="009860EA"/>
    <w:rsid w:val="00986C1F"/>
    <w:rsid w:val="00987D88"/>
    <w:rsid w:val="00987E41"/>
    <w:rsid w:val="009900A1"/>
    <w:rsid w:val="009911AF"/>
    <w:rsid w:val="009911D1"/>
    <w:rsid w:val="0099140B"/>
    <w:rsid w:val="00991875"/>
    <w:rsid w:val="00991E2E"/>
    <w:rsid w:val="00991F92"/>
    <w:rsid w:val="00992613"/>
    <w:rsid w:val="00992985"/>
    <w:rsid w:val="0099361F"/>
    <w:rsid w:val="00993889"/>
    <w:rsid w:val="009947E4"/>
    <w:rsid w:val="0099551B"/>
    <w:rsid w:val="00995F90"/>
    <w:rsid w:val="00996C3C"/>
    <w:rsid w:val="00997282"/>
    <w:rsid w:val="009978D9"/>
    <w:rsid w:val="00997BF1"/>
    <w:rsid w:val="009A089C"/>
    <w:rsid w:val="009A118E"/>
    <w:rsid w:val="009A21CD"/>
    <w:rsid w:val="009A278C"/>
    <w:rsid w:val="009A2BC2"/>
    <w:rsid w:val="009A2C3C"/>
    <w:rsid w:val="009A2E6C"/>
    <w:rsid w:val="009A3817"/>
    <w:rsid w:val="009A3EEC"/>
    <w:rsid w:val="009A41E7"/>
    <w:rsid w:val="009A42C1"/>
    <w:rsid w:val="009A4F42"/>
    <w:rsid w:val="009A5429"/>
    <w:rsid w:val="009A6501"/>
    <w:rsid w:val="009A72AD"/>
    <w:rsid w:val="009A7F99"/>
    <w:rsid w:val="009B055D"/>
    <w:rsid w:val="009B09E0"/>
    <w:rsid w:val="009B0A44"/>
    <w:rsid w:val="009B0BC5"/>
    <w:rsid w:val="009B0F09"/>
    <w:rsid w:val="009B1247"/>
    <w:rsid w:val="009B1334"/>
    <w:rsid w:val="009B3FCB"/>
    <w:rsid w:val="009B47AB"/>
    <w:rsid w:val="009B54F2"/>
    <w:rsid w:val="009B6029"/>
    <w:rsid w:val="009B6971"/>
    <w:rsid w:val="009B75D5"/>
    <w:rsid w:val="009C067F"/>
    <w:rsid w:val="009C27D9"/>
    <w:rsid w:val="009C27F1"/>
    <w:rsid w:val="009C29E1"/>
    <w:rsid w:val="009C3152"/>
    <w:rsid w:val="009C4B17"/>
    <w:rsid w:val="009C4CFA"/>
    <w:rsid w:val="009C4EFF"/>
    <w:rsid w:val="009C5070"/>
    <w:rsid w:val="009C5469"/>
    <w:rsid w:val="009C605A"/>
    <w:rsid w:val="009C64FE"/>
    <w:rsid w:val="009C6AB8"/>
    <w:rsid w:val="009C7321"/>
    <w:rsid w:val="009D112C"/>
    <w:rsid w:val="009D1E77"/>
    <w:rsid w:val="009D20F4"/>
    <w:rsid w:val="009D2C75"/>
    <w:rsid w:val="009D30CD"/>
    <w:rsid w:val="009D3F34"/>
    <w:rsid w:val="009D47FA"/>
    <w:rsid w:val="009D50D2"/>
    <w:rsid w:val="009D6355"/>
    <w:rsid w:val="009D6629"/>
    <w:rsid w:val="009D6BCA"/>
    <w:rsid w:val="009D7BF4"/>
    <w:rsid w:val="009E0F62"/>
    <w:rsid w:val="009E13DB"/>
    <w:rsid w:val="009E1B33"/>
    <w:rsid w:val="009E2267"/>
    <w:rsid w:val="009E4590"/>
    <w:rsid w:val="009E48DC"/>
    <w:rsid w:val="009E4A58"/>
    <w:rsid w:val="009E5A2D"/>
    <w:rsid w:val="009E5AB2"/>
    <w:rsid w:val="009E6219"/>
    <w:rsid w:val="009E7167"/>
    <w:rsid w:val="009F03B3"/>
    <w:rsid w:val="009F2BDB"/>
    <w:rsid w:val="009F34AA"/>
    <w:rsid w:val="009F3F08"/>
    <w:rsid w:val="009F5599"/>
    <w:rsid w:val="009F5967"/>
    <w:rsid w:val="009F6509"/>
    <w:rsid w:val="009F6661"/>
    <w:rsid w:val="009F68A0"/>
    <w:rsid w:val="009F7AF1"/>
    <w:rsid w:val="00A01757"/>
    <w:rsid w:val="00A0193C"/>
    <w:rsid w:val="00A028C0"/>
    <w:rsid w:val="00A02BAE"/>
    <w:rsid w:val="00A02DE6"/>
    <w:rsid w:val="00A04293"/>
    <w:rsid w:val="00A04738"/>
    <w:rsid w:val="00A04DA9"/>
    <w:rsid w:val="00A06A6B"/>
    <w:rsid w:val="00A07E47"/>
    <w:rsid w:val="00A07EE4"/>
    <w:rsid w:val="00A11FAA"/>
    <w:rsid w:val="00A1259D"/>
    <w:rsid w:val="00A12642"/>
    <w:rsid w:val="00A129D0"/>
    <w:rsid w:val="00A12C33"/>
    <w:rsid w:val="00A12F86"/>
    <w:rsid w:val="00A13013"/>
    <w:rsid w:val="00A1324F"/>
    <w:rsid w:val="00A134AA"/>
    <w:rsid w:val="00A138BA"/>
    <w:rsid w:val="00A13D37"/>
    <w:rsid w:val="00A141D6"/>
    <w:rsid w:val="00A14A9A"/>
    <w:rsid w:val="00A14C8E"/>
    <w:rsid w:val="00A153D9"/>
    <w:rsid w:val="00A15F09"/>
    <w:rsid w:val="00A169B6"/>
    <w:rsid w:val="00A16FD6"/>
    <w:rsid w:val="00A17D25"/>
    <w:rsid w:val="00A21F38"/>
    <w:rsid w:val="00A223F6"/>
    <w:rsid w:val="00A2271D"/>
    <w:rsid w:val="00A22BBC"/>
    <w:rsid w:val="00A236E5"/>
    <w:rsid w:val="00A237D5"/>
    <w:rsid w:val="00A244BD"/>
    <w:rsid w:val="00A24F7B"/>
    <w:rsid w:val="00A251EB"/>
    <w:rsid w:val="00A26961"/>
    <w:rsid w:val="00A30A29"/>
    <w:rsid w:val="00A30EFC"/>
    <w:rsid w:val="00A3168D"/>
    <w:rsid w:val="00A31984"/>
    <w:rsid w:val="00A32C04"/>
    <w:rsid w:val="00A32D73"/>
    <w:rsid w:val="00A32ECE"/>
    <w:rsid w:val="00A3367B"/>
    <w:rsid w:val="00A3597D"/>
    <w:rsid w:val="00A36668"/>
    <w:rsid w:val="00A3704F"/>
    <w:rsid w:val="00A379C0"/>
    <w:rsid w:val="00A37B7B"/>
    <w:rsid w:val="00A40091"/>
    <w:rsid w:val="00A4030F"/>
    <w:rsid w:val="00A407ED"/>
    <w:rsid w:val="00A4177A"/>
    <w:rsid w:val="00A417EC"/>
    <w:rsid w:val="00A41C79"/>
    <w:rsid w:val="00A41CB5"/>
    <w:rsid w:val="00A42B18"/>
    <w:rsid w:val="00A42CDF"/>
    <w:rsid w:val="00A43A10"/>
    <w:rsid w:val="00A4452E"/>
    <w:rsid w:val="00A4472C"/>
    <w:rsid w:val="00A448B9"/>
    <w:rsid w:val="00A44DF4"/>
    <w:rsid w:val="00A44E69"/>
    <w:rsid w:val="00A461C8"/>
    <w:rsid w:val="00A4661E"/>
    <w:rsid w:val="00A46738"/>
    <w:rsid w:val="00A46C92"/>
    <w:rsid w:val="00A47294"/>
    <w:rsid w:val="00A47C49"/>
    <w:rsid w:val="00A52002"/>
    <w:rsid w:val="00A52DE7"/>
    <w:rsid w:val="00A5304B"/>
    <w:rsid w:val="00A53E63"/>
    <w:rsid w:val="00A54AB3"/>
    <w:rsid w:val="00A55BD6"/>
    <w:rsid w:val="00A55D50"/>
    <w:rsid w:val="00A5659E"/>
    <w:rsid w:val="00A56BE0"/>
    <w:rsid w:val="00A57142"/>
    <w:rsid w:val="00A57BE7"/>
    <w:rsid w:val="00A6392E"/>
    <w:rsid w:val="00A63CF1"/>
    <w:rsid w:val="00A63EC4"/>
    <w:rsid w:val="00A648CD"/>
    <w:rsid w:val="00A6537A"/>
    <w:rsid w:val="00A65999"/>
    <w:rsid w:val="00A659E4"/>
    <w:rsid w:val="00A66083"/>
    <w:rsid w:val="00A67866"/>
    <w:rsid w:val="00A7054F"/>
    <w:rsid w:val="00A70B07"/>
    <w:rsid w:val="00A70F70"/>
    <w:rsid w:val="00A7164C"/>
    <w:rsid w:val="00A723F8"/>
    <w:rsid w:val="00A72735"/>
    <w:rsid w:val="00A73D18"/>
    <w:rsid w:val="00A74429"/>
    <w:rsid w:val="00A756C9"/>
    <w:rsid w:val="00A759C7"/>
    <w:rsid w:val="00A767E3"/>
    <w:rsid w:val="00A76B2B"/>
    <w:rsid w:val="00A7719E"/>
    <w:rsid w:val="00A77CCB"/>
    <w:rsid w:val="00A77EF3"/>
    <w:rsid w:val="00A80EE9"/>
    <w:rsid w:val="00A8174B"/>
    <w:rsid w:val="00A82510"/>
    <w:rsid w:val="00A83D8D"/>
    <w:rsid w:val="00A8446B"/>
    <w:rsid w:val="00A8473F"/>
    <w:rsid w:val="00A85336"/>
    <w:rsid w:val="00A862D6"/>
    <w:rsid w:val="00A8686F"/>
    <w:rsid w:val="00A86B57"/>
    <w:rsid w:val="00A8715E"/>
    <w:rsid w:val="00A8753A"/>
    <w:rsid w:val="00A910F1"/>
    <w:rsid w:val="00A922DC"/>
    <w:rsid w:val="00A9295B"/>
    <w:rsid w:val="00A934D9"/>
    <w:rsid w:val="00A93850"/>
    <w:rsid w:val="00A93B09"/>
    <w:rsid w:val="00A952D7"/>
    <w:rsid w:val="00A95595"/>
    <w:rsid w:val="00A95890"/>
    <w:rsid w:val="00A95ED9"/>
    <w:rsid w:val="00A963F7"/>
    <w:rsid w:val="00A96AD8"/>
    <w:rsid w:val="00A97867"/>
    <w:rsid w:val="00A97AC8"/>
    <w:rsid w:val="00AA052C"/>
    <w:rsid w:val="00AA11B6"/>
    <w:rsid w:val="00AA1800"/>
    <w:rsid w:val="00AA1E45"/>
    <w:rsid w:val="00AA1EC7"/>
    <w:rsid w:val="00AA2A24"/>
    <w:rsid w:val="00AA2DBB"/>
    <w:rsid w:val="00AA4286"/>
    <w:rsid w:val="00AA456B"/>
    <w:rsid w:val="00AA49B7"/>
    <w:rsid w:val="00AA4E31"/>
    <w:rsid w:val="00AA574C"/>
    <w:rsid w:val="00AA57F5"/>
    <w:rsid w:val="00AA672E"/>
    <w:rsid w:val="00AA6EC9"/>
    <w:rsid w:val="00AA733B"/>
    <w:rsid w:val="00AA76A0"/>
    <w:rsid w:val="00AA7C05"/>
    <w:rsid w:val="00AB129B"/>
    <w:rsid w:val="00AB170A"/>
    <w:rsid w:val="00AB1F5D"/>
    <w:rsid w:val="00AB275B"/>
    <w:rsid w:val="00AB3D98"/>
    <w:rsid w:val="00AB4DC6"/>
    <w:rsid w:val="00AB6309"/>
    <w:rsid w:val="00AB6C5F"/>
    <w:rsid w:val="00AB6DD1"/>
    <w:rsid w:val="00AB7129"/>
    <w:rsid w:val="00AB7444"/>
    <w:rsid w:val="00AB753B"/>
    <w:rsid w:val="00AB7DD2"/>
    <w:rsid w:val="00AC0576"/>
    <w:rsid w:val="00AC0BFE"/>
    <w:rsid w:val="00AC0F7A"/>
    <w:rsid w:val="00AC1F79"/>
    <w:rsid w:val="00AC27A6"/>
    <w:rsid w:val="00AC30F7"/>
    <w:rsid w:val="00AC3A5A"/>
    <w:rsid w:val="00AC3E5B"/>
    <w:rsid w:val="00AC47B8"/>
    <w:rsid w:val="00AC4D95"/>
    <w:rsid w:val="00AC561B"/>
    <w:rsid w:val="00AC59D2"/>
    <w:rsid w:val="00AC5DF4"/>
    <w:rsid w:val="00AC6297"/>
    <w:rsid w:val="00AC7FC3"/>
    <w:rsid w:val="00AD0AEF"/>
    <w:rsid w:val="00AD0E64"/>
    <w:rsid w:val="00AD11B7"/>
    <w:rsid w:val="00AD12AA"/>
    <w:rsid w:val="00AD1367"/>
    <w:rsid w:val="00AD1A94"/>
    <w:rsid w:val="00AD1B22"/>
    <w:rsid w:val="00AD1C05"/>
    <w:rsid w:val="00AD2278"/>
    <w:rsid w:val="00AD2437"/>
    <w:rsid w:val="00AD3367"/>
    <w:rsid w:val="00AD3894"/>
    <w:rsid w:val="00AD4126"/>
    <w:rsid w:val="00AD421C"/>
    <w:rsid w:val="00AD44FA"/>
    <w:rsid w:val="00AD4F36"/>
    <w:rsid w:val="00AD5C24"/>
    <w:rsid w:val="00AD66F9"/>
    <w:rsid w:val="00AD673C"/>
    <w:rsid w:val="00AD68F6"/>
    <w:rsid w:val="00AD7317"/>
    <w:rsid w:val="00AD7DBD"/>
    <w:rsid w:val="00AD7E41"/>
    <w:rsid w:val="00AE070A"/>
    <w:rsid w:val="00AE101C"/>
    <w:rsid w:val="00AE120F"/>
    <w:rsid w:val="00AE25FC"/>
    <w:rsid w:val="00AE29C7"/>
    <w:rsid w:val="00AE37E6"/>
    <w:rsid w:val="00AE4308"/>
    <w:rsid w:val="00AE5876"/>
    <w:rsid w:val="00AE5B78"/>
    <w:rsid w:val="00AE6277"/>
    <w:rsid w:val="00AE7FC4"/>
    <w:rsid w:val="00AF06B2"/>
    <w:rsid w:val="00AF089D"/>
    <w:rsid w:val="00AF0C18"/>
    <w:rsid w:val="00AF0C91"/>
    <w:rsid w:val="00AF0D30"/>
    <w:rsid w:val="00AF0F41"/>
    <w:rsid w:val="00AF20A4"/>
    <w:rsid w:val="00AF2E31"/>
    <w:rsid w:val="00AF47C5"/>
    <w:rsid w:val="00AF5398"/>
    <w:rsid w:val="00AF594C"/>
    <w:rsid w:val="00AF5B68"/>
    <w:rsid w:val="00AF69CA"/>
    <w:rsid w:val="00AF6B6E"/>
    <w:rsid w:val="00B00497"/>
    <w:rsid w:val="00B00522"/>
    <w:rsid w:val="00B02455"/>
    <w:rsid w:val="00B02DD7"/>
    <w:rsid w:val="00B049AF"/>
    <w:rsid w:val="00B05435"/>
    <w:rsid w:val="00B06964"/>
    <w:rsid w:val="00B07242"/>
    <w:rsid w:val="00B10534"/>
    <w:rsid w:val="00B109F8"/>
    <w:rsid w:val="00B113DB"/>
    <w:rsid w:val="00B11D8A"/>
    <w:rsid w:val="00B120A1"/>
    <w:rsid w:val="00B12981"/>
    <w:rsid w:val="00B147DD"/>
    <w:rsid w:val="00B14FAC"/>
    <w:rsid w:val="00B15166"/>
    <w:rsid w:val="00B1543F"/>
    <w:rsid w:val="00B156FD"/>
    <w:rsid w:val="00B15C78"/>
    <w:rsid w:val="00B15ECF"/>
    <w:rsid w:val="00B17551"/>
    <w:rsid w:val="00B201AE"/>
    <w:rsid w:val="00B20ABE"/>
    <w:rsid w:val="00B21F61"/>
    <w:rsid w:val="00B23045"/>
    <w:rsid w:val="00B240FA"/>
    <w:rsid w:val="00B24E2A"/>
    <w:rsid w:val="00B253FF"/>
    <w:rsid w:val="00B257A4"/>
    <w:rsid w:val="00B261F1"/>
    <w:rsid w:val="00B262D3"/>
    <w:rsid w:val="00B265BC"/>
    <w:rsid w:val="00B267BC"/>
    <w:rsid w:val="00B26B9B"/>
    <w:rsid w:val="00B27105"/>
    <w:rsid w:val="00B2798C"/>
    <w:rsid w:val="00B306BC"/>
    <w:rsid w:val="00B30911"/>
    <w:rsid w:val="00B30E28"/>
    <w:rsid w:val="00B31101"/>
    <w:rsid w:val="00B31A05"/>
    <w:rsid w:val="00B31FB1"/>
    <w:rsid w:val="00B33161"/>
    <w:rsid w:val="00B33952"/>
    <w:rsid w:val="00B33C5E"/>
    <w:rsid w:val="00B342F4"/>
    <w:rsid w:val="00B34369"/>
    <w:rsid w:val="00B34DC2"/>
    <w:rsid w:val="00B35A43"/>
    <w:rsid w:val="00B35D9D"/>
    <w:rsid w:val="00B378E5"/>
    <w:rsid w:val="00B40122"/>
    <w:rsid w:val="00B420EC"/>
    <w:rsid w:val="00B420F1"/>
    <w:rsid w:val="00B42C52"/>
    <w:rsid w:val="00B431F5"/>
    <w:rsid w:val="00B4346D"/>
    <w:rsid w:val="00B440F4"/>
    <w:rsid w:val="00B444C8"/>
    <w:rsid w:val="00B447A5"/>
    <w:rsid w:val="00B45B94"/>
    <w:rsid w:val="00B4654C"/>
    <w:rsid w:val="00B47293"/>
    <w:rsid w:val="00B475EC"/>
    <w:rsid w:val="00B479D0"/>
    <w:rsid w:val="00B5068A"/>
    <w:rsid w:val="00B50D16"/>
    <w:rsid w:val="00B50F88"/>
    <w:rsid w:val="00B5206B"/>
    <w:rsid w:val="00B52120"/>
    <w:rsid w:val="00B52238"/>
    <w:rsid w:val="00B52D6E"/>
    <w:rsid w:val="00B539CB"/>
    <w:rsid w:val="00B54414"/>
    <w:rsid w:val="00B54ABC"/>
    <w:rsid w:val="00B56E2C"/>
    <w:rsid w:val="00B56FBE"/>
    <w:rsid w:val="00B57282"/>
    <w:rsid w:val="00B57C78"/>
    <w:rsid w:val="00B60B23"/>
    <w:rsid w:val="00B60E70"/>
    <w:rsid w:val="00B61457"/>
    <w:rsid w:val="00B62340"/>
    <w:rsid w:val="00B624F3"/>
    <w:rsid w:val="00B62B58"/>
    <w:rsid w:val="00B62BFB"/>
    <w:rsid w:val="00B62C52"/>
    <w:rsid w:val="00B6470B"/>
    <w:rsid w:val="00B64F19"/>
    <w:rsid w:val="00B65149"/>
    <w:rsid w:val="00B6556C"/>
    <w:rsid w:val="00B66567"/>
    <w:rsid w:val="00B66E89"/>
    <w:rsid w:val="00B66F52"/>
    <w:rsid w:val="00B66FE5"/>
    <w:rsid w:val="00B67383"/>
    <w:rsid w:val="00B675B7"/>
    <w:rsid w:val="00B704B4"/>
    <w:rsid w:val="00B70557"/>
    <w:rsid w:val="00B72438"/>
    <w:rsid w:val="00B72880"/>
    <w:rsid w:val="00B73251"/>
    <w:rsid w:val="00B737D7"/>
    <w:rsid w:val="00B73DD7"/>
    <w:rsid w:val="00B73E8C"/>
    <w:rsid w:val="00B74CA0"/>
    <w:rsid w:val="00B758BF"/>
    <w:rsid w:val="00B76601"/>
    <w:rsid w:val="00B768C3"/>
    <w:rsid w:val="00B768DC"/>
    <w:rsid w:val="00B77618"/>
    <w:rsid w:val="00B776F9"/>
    <w:rsid w:val="00B77B1C"/>
    <w:rsid w:val="00B8203C"/>
    <w:rsid w:val="00B827A6"/>
    <w:rsid w:val="00B831CE"/>
    <w:rsid w:val="00B840A0"/>
    <w:rsid w:val="00B840EF"/>
    <w:rsid w:val="00B841C6"/>
    <w:rsid w:val="00B85536"/>
    <w:rsid w:val="00B86677"/>
    <w:rsid w:val="00B86E64"/>
    <w:rsid w:val="00B87131"/>
    <w:rsid w:val="00B9127B"/>
    <w:rsid w:val="00B91566"/>
    <w:rsid w:val="00B924F6"/>
    <w:rsid w:val="00B925DD"/>
    <w:rsid w:val="00B9320C"/>
    <w:rsid w:val="00B939B1"/>
    <w:rsid w:val="00B94312"/>
    <w:rsid w:val="00B948EE"/>
    <w:rsid w:val="00B94B4D"/>
    <w:rsid w:val="00B9503B"/>
    <w:rsid w:val="00B95046"/>
    <w:rsid w:val="00B96D40"/>
    <w:rsid w:val="00B97376"/>
    <w:rsid w:val="00B97386"/>
    <w:rsid w:val="00B97C3B"/>
    <w:rsid w:val="00BA1DD7"/>
    <w:rsid w:val="00BA263B"/>
    <w:rsid w:val="00BA357A"/>
    <w:rsid w:val="00BA35FF"/>
    <w:rsid w:val="00BA3F75"/>
    <w:rsid w:val="00BA42B2"/>
    <w:rsid w:val="00BA4C38"/>
    <w:rsid w:val="00BA5229"/>
    <w:rsid w:val="00BA58D4"/>
    <w:rsid w:val="00BA5961"/>
    <w:rsid w:val="00BA5B9E"/>
    <w:rsid w:val="00BA5DED"/>
    <w:rsid w:val="00BA7C9A"/>
    <w:rsid w:val="00BA7D67"/>
    <w:rsid w:val="00BA7D9F"/>
    <w:rsid w:val="00BB06ED"/>
    <w:rsid w:val="00BB29A1"/>
    <w:rsid w:val="00BB2E0E"/>
    <w:rsid w:val="00BB3CE0"/>
    <w:rsid w:val="00BB3E7B"/>
    <w:rsid w:val="00BB43DA"/>
    <w:rsid w:val="00BB5F8F"/>
    <w:rsid w:val="00BB657A"/>
    <w:rsid w:val="00BB6A3E"/>
    <w:rsid w:val="00BB6B27"/>
    <w:rsid w:val="00BB7F20"/>
    <w:rsid w:val="00BC0126"/>
    <w:rsid w:val="00BC06A3"/>
    <w:rsid w:val="00BC09C2"/>
    <w:rsid w:val="00BC1A4E"/>
    <w:rsid w:val="00BC2030"/>
    <w:rsid w:val="00BC25B5"/>
    <w:rsid w:val="00BC33F5"/>
    <w:rsid w:val="00BC3E3E"/>
    <w:rsid w:val="00BC4033"/>
    <w:rsid w:val="00BC54DE"/>
    <w:rsid w:val="00BC5D64"/>
    <w:rsid w:val="00BC5DC7"/>
    <w:rsid w:val="00BC6B8B"/>
    <w:rsid w:val="00BC73D8"/>
    <w:rsid w:val="00BD043E"/>
    <w:rsid w:val="00BD07AB"/>
    <w:rsid w:val="00BD0E54"/>
    <w:rsid w:val="00BD13B3"/>
    <w:rsid w:val="00BD33F4"/>
    <w:rsid w:val="00BD47E8"/>
    <w:rsid w:val="00BD52D7"/>
    <w:rsid w:val="00BD5AD2"/>
    <w:rsid w:val="00BD6082"/>
    <w:rsid w:val="00BD70DB"/>
    <w:rsid w:val="00BD7997"/>
    <w:rsid w:val="00BE11CE"/>
    <w:rsid w:val="00BE1465"/>
    <w:rsid w:val="00BE1BD6"/>
    <w:rsid w:val="00BE22F3"/>
    <w:rsid w:val="00BE25E4"/>
    <w:rsid w:val="00BE49EE"/>
    <w:rsid w:val="00BE5B52"/>
    <w:rsid w:val="00BE76D5"/>
    <w:rsid w:val="00BE7B8D"/>
    <w:rsid w:val="00BF0993"/>
    <w:rsid w:val="00BF10A9"/>
    <w:rsid w:val="00BF1703"/>
    <w:rsid w:val="00BF1781"/>
    <w:rsid w:val="00BF231C"/>
    <w:rsid w:val="00BF3125"/>
    <w:rsid w:val="00BF379B"/>
    <w:rsid w:val="00BF51E5"/>
    <w:rsid w:val="00BF57B1"/>
    <w:rsid w:val="00BF6296"/>
    <w:rsid w:val="00BF70E7"/>
    <w:rsid w:val="00BF74A6"/>
    <w:rsid w:val="00C00FA2"/>
    <w:rsid w:val="00C013AD"/>
    <w:rsid w:val="00C01668"/>
    <w:rsid w:val="00C027A2"/>
    <w:rsid w:val="00C02972"/>
    <w:rsid w:val="00C0360F"/>
    <w:rsid w:val="00C04149"/>
    <w:rsid w:val="00C0446A"/>
    <w:rsid w:val="00C04904"/>
    <w:rsid w:val="00C056B3"/>
    <w:rsid w:val="00C07DA5"/>
    <w:rsid w:val="00C103E5"/>
    <w:rsid w:val="00C118DC"/>
    <w:rsid w:val="00C11ECE"/>
    <w:rsid w:val="00C12D38"/>
    <w:rsid w:val="00C13319"/>
    <w:rsid w:val="00C13EE9"/>
    <w:rsid w:val="00C14536"/>
    <w:rsid w:val="00C14D87"/>
    <w:rsid w:val="00C1537B"/>
    <w:rsid w:val="00C15562"/>
    <w:rsid w:val="00C15C5E"/>
    <w:rsid w:val="00C168C4"/>
    <w:rsid w:val="00C170CA"/>
    <w:rsid w:val="00C17381"/>
    <w:rsid w:val="00C1748E"/>
    <w:rsid w:val="00C21277"/>
    <w:rsid w:val="00C21540"/>
    <w:rsid w:val="00C21906"/>
    <w:rsid w:val="00C21BFA"/>
    <w:rsid w:val="00C240B0"/>
    <w:rsid w:val="00C24AFC"/>
    <w:rsid w:val="00C24C8D"/>
    <w:rsid w:val="00C25FE2"/>
    <w:rsid w:val="00C266AD"/>
    <w:rsid w:val="00C26B53"/>
    <w:rsid w:val="00C26BFC"/>
    <w:rsid w:val="00C279B2"/>
    <w:rsid w:val="00C30B63"/>
    <w:rsid w:val="00C32852"/>
    <w:rsid w:val="00C33843"/>
    <w:rsid w:val="00C33D45"/>
    <w:rsid w:val="00C33E50"/>
    <w:rsid w:val="00C34C20"/>
    <w:rsid w:val="00C34C5C"/>
    <w:rsid w:val="00C35701"/>
    <w:rsid w:val="00C35A3E"/>
    <w:rsid w:val="00C3627A"/>
    <w:rsid w:val="00C36687"/>
    <w:rsid w:val="00C36A49"/>
    <w:rsid w:val="00C37879"/>
    <w:rsid w:val="00C40C66"/>
    <w:rsid w:val="00C42130"/>
    <w:rsid w:val="00C423A4"/>
    <w:rsid w:val="00C42BBE"/>
    <w:rsid w:val="00C43AD5"/>
    <w:rsid w:val="00C44BF5"/>
    <w:rsid w:val="00C4591C"/>
    <w:rsid w:val="00C4602E"/>
    <w:rsid w:val="00C4625E"/>
    <w:rsid w:val="00C47FF7"/>
    <w:rsid w:val="00C504FF"/>
    <w:rsid w:val="00C510F0"/>
    <w:rsid w:val="00C51191"/>
    <w:rsid w:val="00C51CFF"/>
    <w:rsid w:val="00C539D3"/>
    <w:rsid w:val="00C53FDC"/>
    <w:rsid w:val="00C5408F"/>
    <w:rsid w:val="00C547F4"/>
    <w:rsid w:val="00C55232"/>
    <w:rsid w:val="00C553A4"/>
    <w:rsid w:val="00C55A06"/>
    <w:rsid w:val="00C55D03"/>
    <w:rsid w:val="00C563B3"/>
    <w:rsid w:val="00C56F1F"/>
    <w:rsid w:val="00C57082"/>
    <w:rsid w:val="00C5751F"/>
    <w:rsid w:val="00C575B3"/>
    <w:rsid w:val="00C601BC"/>
    <w:rsid w:val="00C6329F"/>
    <w:rsid w:val="00C63340"/>
    <w:rsid w:val="00C64295"/>
    <w:rsid w:val="00C643E2"/>
    <w:rsid w:val="00C643F9"/>
    <w:rsid w:val="00C64834"/>
    <w:rsid w:val="00C64E95"/>
    <w:rsid w:val="00C655FD"/>
    <w:rsid w:val="00C65CE2"/>
    <w:rsid w:val="00C671E7"/>
    <w:rsid w:val="00C71372"/>
    <w:rsid w:val="00C72222"/>
    <w:rsid w:val="00C723B1"/>
    <w:rsid w:val="00C72410"/>
    <w:rsid w:val="00C7287F"/>
    <w:rsid w:val="00C72B7D"/>
    <w:rsid w:val="00C72F0E"/>
    <w:rsid w:val="00C74173"/>
    <w:rsid w:val="00C74651"/>
    <w:rsid w:val="00C75714"/>
    <w:rsid w:val="00C77F38"/>
    <w:rsid w:val="00C805D8"/>
    <w:rsid w:val="00C80CB8"/>
    <w:rsid w:val="00C8159C"/>
    <w:rsid w:val="00C819F8"/>
    <w:rsid w:val="00C81D05"/>
    <w:rsid w:val="00C8248C"/>
    <w:rsid w:val="00C82A93"/>
    <w:rsid w:val="00C831DD"/>
    <w:rsid w:val="00C83596"/>
    <w:rsid w:val="00C8492D"/>
    <w:rsid w:val="00C84E33"/>
    <w:rsid w:val="00C85538"/>
    <w:rsid w:val="00C857D5"/>
    <w:rsid w:val="00C85CF9"/>
    <w:rsid w:val="00C86418"/>
    <w:rsid w:val="00C86D6F"/>
    <w:rsid w:val="00C87896"/>
    <w:rsid w:val="00C90500"/>
    <w:rsid w:val="00C905FC"/>
    <w:rsid w:val="00C90B40"/>
    <w:rsid w:val="00C91B8E"/>
    <w:rsid w:val="00C92D03"/>
    <w:rsid w:val="00C92D23"/>
    <w:rsid w:val="00C92FCB"/>
    <w:rsid w:val="00C9319C"/>
    <w:rsid w:val="00C93DEE"/>
    <w:rsid w:val="00C9435D"/>
    <w:rsid w:val="00C94E0D"/>
    <w:rsid w:val="00C9517F"/>
    <w:rsid w:val="00C96741"/>
    <w:rsid w:val="00C97BE9"/>
    <w:rsid w:val="00CA006C"/>
    <w:rsid w:val="00CA1481"/>
    <w:rsid w:val="00CA2D1B"/>
    <w:rsid w:val="00CA311C"/>
    <w:rsid w:val="00CA3378"/>
    <w:rsid w:val="00CA4426"/>
    <w:rsid w:val="00CA47B0"/>
    <w:rsid w:val="00CA4BEC"/>
    <w:rsid w:val="00CA662A"/>
    <w:rsid w:val="00CA6CBA"/>
    <w:rsid w:val="00CA7AFD"/>
    <w:rsid w:val="00CA7C3C"/>
    <w:rsid w:val="00CA7E48"/>
    <w:rsid w:val="00CB0189"/>
    <w:rsid w:val="00CB0286"/>
    <w:rsid w:val="00CB0BA2"/>
    <w:rsid w:val="00CB1A42"/>
    <w:rsid w:val="00CB1B0C"/>
    <w:rsid w:val="00CB2947"/>
    <w:rsid w:val="00CB2C0B"/>
    <w:rsid w:val="00CB517D"/>
    <w:rsid w:val="00CB57C6"/>
    <w:rsid w:val="00CB6208"/>
    <w:rsid w:val="00CB62CE"/>
    <w:rsid w:val="00CB73EC"/>
    <w:rsid w:val="00CC038D"/>
    <w:rsid w:val="00CC154E"/>
    <w:rsid w:val="00CC1BDA"/>
    <w:rsid w:val="00CC32B6"/>
    <w:rsid w:val="00CC39FF"/>
    <w:rsid w:val="00CC3C2F"/>
    <w:rsid w:val="00CC4AC8"/>
    <w:rsid w:val="00CC5233"/>
    <w:rsid w:val="00CC5C3C"/>
    <w:rsid w:val="00CC5DE6"/>
    <w:rsid w:val="00CC6E4E"/>
    <w:rsid w:val="00CC6FE8"/>
    <w:rsid w:val="00CC7202"/>
    <w:rsid w:val="00CC7536"/>
    <w:rsid w:val="00CD2808"/>
    <w:rsid w:val="00CD28BF"/>
    <w:rsid w:val="00CD3E48"/>
    <w:rsid w:val="00CD4092"/>
    <w:rsid w:val="00CD4460"/>
    <w:rsid w:val="00CD4A20"/>
    <w:rsid w:val="00CD50A1"/>
    <w:rsid w:val="00CD519E"/>
    <w:rsid w:val="00CD6660"/>
    <w:rsid w:val="00CD6FF8"/>
    <w:rsid w:val="00CD744B"/>
    <w:rsid w:val="00CD76DC"/>
    <w:rsid w:val="00CD78D0"/>
    <w:rsid w:val="00CE04CC"/>
    <w:rsid w:val="00CE0C4F"/>
    <w:rsid w:val="00CE1A6E"/>
    <w:rsid w:val="00CE30EA"/>
    <w:rsid w:val="00CE464B"/>
    <w:rsid w:val="00CE4FA3"/>
    <w:rsid w:val="00CE543A"/>
    <w:rsid w:val="00CE64E8"/>
    <w:rsid w:val="00CE7C67"/>
    <w:rsid w:val="00CF048A"/>
    <w:rsid w:val="00CF05A5"/>
    <w:rsid w:val="00CF0970"/>
    <w:rsid w:val="00CF1435"/>
    <w:rsid w:val="00CF155A"/>
    <w:rsid w:val="00CF2947"/>
    <w:rsid w:val="00CF2ABD"/>
    <w:rsid w:val="00CF2D23"/>
    <w:rsid w:val="00CF44B1"/>
    <w:rsid w:val="00CF4D0F"/>
    <w:rsid w:val="00CF4D20"/>
    <w:rsid w:val="00CF4D7B"/>
    <w:rsid w:val="00CF557C"/>
    <w:rsid w:val="00CF61A9"/>
    <w:rsid w:val="00CF686F"/>
    <w:rsid w:val="00CF6D43"/>
    <w:rsid w:val="00CF6E60"/>
    <w:rsid w:val="00CF714B"/>
    <w:rsid w:val="00CF7B7C"/>
    <w:rsid w:val="00CF7BCA"/>
    <w:rsid w:val="00D00421"/>
    <w:rsid w:val="00D008FD"/>
    <w:rsid w:val="00D00D38"/>
    <w:rsid w:val="00D0321C"/>
    <w:rsid w:val="00D0330B"/>
    <w:rsid w:val="00D035EC"/>
    <w:rsid w:val="00D03D09"/>
    <w:rsid w:val="00D0429E"/>
    <w:rsid w:val="00D04E6F"/>
    <w:rsid w:val="00D06AB1"/>
    <w:rsid w:val="00D06AC2"/>
    <w:rsid w:val="00D072ED"/>
    <w:rsid w:val="00D07A16"/>
    <w:rsid w:val="00D1067E"/>
    <w:rsid w:val="00D10745"/>
    <w:rsid w:val="00D10BD0"/>
    <w:rsid w:val="00D10F50"/>
    <w:rsid w:val="00D11272"/>
    <w:rsid w:val="00D126F5"/>
    <w:rsid w:val="00D12EFF"/>
    <w:rsid w:val="00D13256"/>
    <w:rsid w:val="00D134E9"/>
    <w:rsid w:val="00D1489E"/>
    <w:rsid w:val="00D161DB"/>
    <w:rsid w:val="00D1674C"/>
    <w:rsid w:val="00D20737"/>
    <w:rsid w:val="00D214DA"/>
    <w:rsid w:val="00D21C9E"/>
    <w:rsid w:val="00D21E81"/>
    <w:rsid w:val="00D223DE"/>
    <w:rsid w:val="00D2296E"/>
    <w:rsid w:val="00D2313A"/>
    <w:rsid w:val="00D24352"/>
    <w:rsid w:val="00D24AA4"/>
    <w:rsid w:val="00D24C5B"/>
    <w:rsid w:val="00D25D5A"/>
    <w:rsid w:val="00D25E37"/>
    <w:rsid w:val="00D2661A"/>
    <w:rsid w:val="00D27582"/>
    <w:rsid w:val="00D2796B"/>
    <w:rsid w:val="00D30E87"/>
    <w:rsid w:val="00D32217"/>
    <w:rsid w:val="00D3228A"/>
    <w:rsid w:val="00D32293"/>
    <w:rsid w:val="00D32719"/>
    <w:rsid w:val="00D32B03"/>
    <w:rsid w:val="00D33333"/>
    <w:rsid w:val="00D334FE"/>
    <w:rsid w:val="00D33654"/>
    <w:rsid w:val="00D341AD"/>
    <w:rsid w:val="00D34BE6"/>
    <w:rsid w:val="00D352A2"/>
    <w:rsid w:val="00D355AF"/>
    <w:rsid w:val="00D37626"/>
    <w:rsid w:val="00D37C8C"/>
    <w:rsid w:val="00D409B5"/>
    <w:rsid w:val="00D40A83"/>
    <w:rsid w:val="00D40ACA"/>
    <w:rsid w:val="00D41178"/>
    <w:rsid w:val="00D4162B"/>
    <w:rsid w:val="00D44361"/>
    <w:rsid w:val="00D4457F"/>
    <w:rsid w:val="00D44881"/>
    <w:rsid w:val="00D44B71"/>
    <w:rsid w:val="00D4514F"/>
    <w:rsid w:val="00D451E2"/>
    <w:rsid w:val="00D4545E"/>
    <w:rsid w:val="00D45E89"/>
    <w:rsid w:val="00D45E8D"/>
    <w:rsid w:val="00D466AE"/>
    <w:rsid w:val="00D46D9D"/>
    <w:rsid w:val="00D4734F"/>
    <w:rsid w:val="00D50E29"/>
    <w:rsid w:val="00D51BF3"/>
    <w:rsid w:val="00D523A2"/>
    <w:rsid w:val="00D53715"/>
    <w:rsid w:val="00D53AFC"/>
    <w:rsid w:val="00D558E4"/>
    <w:rsid w:val="00D56293"/>
    <w:rsid w:val="00D56888"/>
    <w:rsid w:val="00D56E3C"/>
    <w:rsid w:val="00D56FD7"/>
    <w:rsid w:val="00D5761E"/>
    <w:rsid w:val="00D5794F"/>
    <w:rsid w:val="00D57DD3"/>
    <w:rsid w:val="00D60CB4"/>
    <w:rsid w:val="00D60D92"/>
    <w:rsid w:val="00D60D97"/>
    <w:rsid w:val="00D611C2"/>
    <w:rsid w:val="00D62098"/>
    <w:rsid w:val="00D63276"/>
    <w:rsid w:val="00D648CD"/>
    <w:rsid w:val="00D64D8C"/>
    <w:rsid w:val="00D653A4"/>
    <w:rsid w:val="00D658A0"/>
    <w:rsid w:val="00D66846"/>
    <w:rsid w:val="00D669FC"/>
    <w:rsid w:val="00D675FB"/>
    <w:rsid w:val="00D67CE6"/>
    <w:rsid w:val="00D67E30"/>
    <w:rsid w:val="00D67F46"/>
    <w:rsid w:val="00D70383"/>
    <w:rsid w:val="00D70A6F"/>
    <w:rsid w:val="00D71609"/>
    <w:rsid w:val="00D71B94"/>
    <w:rsid w:val="00D71F25"/>
    <w:rsid w:val="00D71FA7"/>
    <w:rsid w:val="00D7231E"/>
    <w:rsid w:val="00D73AE0"/>
    <w:rsid w:val="00D74DF6"/>
    <w:rsid w:val="00D755C4"/>
    <w:rsid w:val="00D75DFB"/>
    <w:rsid w:val="00D77031"/>
    <w:rsid w:val="00D77ECA"/>
    <w:rsid w:val="00D80568"/>
    <w:rsid w:val="00D80ED5"/>
    <w:rsid w:val="00D81230"/>
    <w:rsid w:val="00D81E52"/>
    <w:rsid w:val="00D81EAA"/>
    <w:rsid w:val="00D840FC"/>
    <w:rsid w:val="00D84508"/>
    <w:rsid w:val="00D84941"/>
    <w:rsid w:val="00D84FA1"/>
    <w:rsid w:val="00D851F0"/>
    <w:rsid w:val="00D86DB7"/>
    <w:rsid w:val="00D871D7"/>
    <w:rsid w:val="00D90167"/>
    <w:rsid w:val="00D90BD7"/>
    <w:rsid w:val="00D91279"/>
    <w:rsid w:val="00D91328"/>
    <w:rsid w:val="00D91592"/>
    <w:rsid w:val="00D926D0"/>
    <w:rsid w:val="00D92763"/>
    <w:rsid w:val="00D92D94"/>
    <w:rsid w:val="00D93030"/>
    <w:rsid w:val="00D9352A"/>
    <w:rsid w:val="00D93822"/>
    <w:rsid w:val="00D93A68"/>
    <w:rsid w:val="00D950E1"/>
    <w:rsid w:val="00D952A6"/>
    <w:rsid w:val="00D95317"/>
    <w:rsid w:val="00D96B45"/>
    <w:rsid w:val="00D96C6B"/>
    <w:rsid w:val="00D97F99"/>
    <w:rsid w:val="00DA0820"/>
    <w:rsid w:val="00DA1826"/>
    <w:rsid w:val="00DA19E7"/>
    <w:rsid w:val="00DA1ABA"/>
    <w:rsid w:val="00DA1D45"/>
    <w:rsid w:val="00DA1D72"/>
    <w:rsid w:val="00DA1E08"/>
    <w:rsid w:val="00DA24F8"/>
    <w:rsid w:val="00DA28E8"/>
    <w:rsid w:val="00DA38D3"/>
    <w:rsid w:val="00DA3932"/>
    <w:rsid w:val="00DA5CA8"/>
    <w:rsid w:val="00DA6132"/>
    <w:rsid w:val="00DA64F8"/>
    <w:rsid w:val="00DA6C15"/>
    <w:rsid w:val="00DA6F56"/>
    <w:rsid w:val="00DA7370"/>
    <w:rsid w:val="00DB0274"/>
    <w:rsid w:val="00DB04CA"/>
    <w:rsid w:val="00DB0A7B"/>
    <w:rsid w:val="00DB1DCD"/>
    <w:rsid w:val="00DB367E"/>
    <w:rsid w:val="00DB38EE"/>
    <w:rsid w:val="00DB38F7"/>
    <w:rsid w:val="00DB3C4B"/>
    <w:rsid w:val="00DB481C"/>
    <w:rsid w:val="00DB498B"/>
    <w:rsid w:val="00DB5294"/>
    <w:rsid w:val="00DB552F"/>
    <w:rsid w:val="00DB59D2"/>
    <w:rsid w:val="00DB6112"/>
    <w:rsid w:val="00DB66CA"/>
    <w:rsid w:val="00DB6BCA"/>
    <w:rsid w:val="00DB6F79"/>
    <w:rsid w:val="00DC0321"/>
    <w:rsid w:val="00DC2FDD"/>
    <w:rsid w:val="00DC3067"/>
    <w:rsid w:val="00DC307F"/>
    <w:rsid w:val="00DC325F"/>
    <w:rsid w:val="00DC3533"/>
    <w:rsid w:val="00DC370B"/>
    <w:rsid w:val="00DC3AF7"/>
    <w:rsid w:val="00DC4163"/>
    <w:rsid w:val="00DC4374"/>
    <w:rsid w:val="00DC43E8"/>
    <w:rsid w:val="00DC5A8F"/>
    <w:rsid w:val="00DC5B90"/>
    <w:rsid w:val="00DC69CF"/>
    <w:rsid w:val="00DC6A38"/>
    <w:rsid w:val="00DC724A"/>
    <w:rsid w:val="00DC7749"/>
    <w:rsid w:val="00DD00F2"/>
    <w:rsid w:val="00DD00FF"/>
    <w:rsid w:val="00DD0619"/>
    <w:rsid w:val="00DD07FB"/>
    <w:rsid w:val="00DD0EED"/>
    <w:rsid w:val="00DD1DEC"/>
    <w:rsid w:val="00DD2115"/>
    <w:rsid w:val="00DD216F"/>
    <w:rsid w:val="00DD2363"/>
    <w:rsid w:val="00DD25C6"/>
    <w:rsid w:val="00DD29BC"/>
    <w:rsid w:val="00DD2ED7"/>
    <w:rsid w:val="00DD2F24"/>
    <w:rsid w:val="00DD3679"/>
    <w:rsid w:val="00DD4901"/>
    <w:rsid w:val="00DD54B0"/>
    <w:rsid w:val="00DD57EE"/>
    <w:rsid w:val="00DD6BCC"/>
    <w:rsid w:val="00DD6C44"/>
    <w:rsid w:val="00DD7577"/>
    <w:rsid w:val="00DE0538"/>
    <w:rsid w:val="00DE0A4B"/>
    <w:rsid w:val="00DE0FDC"/>
    <w:rsid w:val="00DE1FC9"/>
    <w:rsid w:val="00DE2410"/>
    <w:rsid w:val="00DE2939"/>
    <w:rsid w:val="00DE46E8"/>
    <w:rsid w:val="00DE5130"/>
    <w:rsid w:val="00DE51F0"/>
    <w:rsid w:val="00DE539E"/>
    <w:rsid w:val="00DE5B20"/>
    <w:rsid w:val="00DE634C"/>
    <w:rsid w:val="00DE6D7B"/>
    <w:rsid w:val="00DE6E81"/>
    <w:rsid w:val="00DE6FD5"/>
    <w:rsid w:val="00DE703F"/>
    <w:rsid w:val="00DE7595"/>
    <w:rsid w:val="00DF15BE"/>
    <w:rsid w:val="00DF1961"/>
    <w:rsid w:val="00DF31A4"/>
    <w:rsid w:val="00DF3C43"/>
    <w:rsid w:val="00DF44DE"/>
    <w:rsid w:val="00DF4AD1"/>
    <w:rsid w:val="00DF5D85"/>
    <w:rsid w:val="00DF5E93"/>
    <w:rsid w:val="00DF616A"/>
    <w:rsid w:val="00E00DE4"/>
    <w:rsid w:val="00E00E80"/>
    <w:rsid w:val="00E01138"/>
    <w:rsid w:val="00E018FA"/>
    <w:rsid w:val="00E01D80"/>
    <w:rsid w:val="00E0202A"/>
    <w:rsid w:val="00E02DFB"/>
    <w:rsid w:val="00E030F9"/>
    <w:rsid w:val="00E0311A"/>
    <w:rsid w:val="00E03138"/>
    <w:rsid w:val="00E04E6C"/>
    <w:rsid w:val="00E04F30"/>
    <w:rsid w:val="00E0574C"/>
    <w:rsid w:val="00E05848"/>
    <w:rsid w:val="00E06404"/>
    <w:rsid w:val="00E076BF"/>
    <w:rsid w:val="00E10592"/>
    <w:rsid w:val="00E1066A"/>
    <w:rsid w:val="00E11A85"/>
    <w:rsid w:val="00E11DE3"/>
    <w:rsid w:val="00E12495"/>
    <w:rsid w:val="00E13EE2"/>
    <w:rsid w:val="00E15CCD"/>
    <w:rsid w:val="00E15D65"/>
    <w:rsid w:val="00E160FB"/>
    <w:rsid w:val="00E16256"/>
    <w:rsid w:val="00E163CC"/>
    <w:rsid w:val="00E1663B"/>
    <w:rsid w:val="00E16973"/>
    <w:rsid w:val="00E16DF2"/>
    <w:rsid w:val="00E1715A"/>
    <w:rsid w:val="00E179EA"/>
    <w:rsid w:val="00E202EF"/>
    <w:rsid w:val="00E210B5"/>
    <w:rsid w:val="00E23745"/>
    <w:rsid w:val="00E2552F"/>
    <w:rsid w:val="00E25967"/>
    <w:rsid w:val="00E2675D"/>
    <w:rsid w:val="00E30010"/>
    <w:rsid w:val="00E3137A"/>
    <w:rsid w:val="00E31493"/>
    <w:rsid w:val="00E3156B"/>
    <w:rsid w:val="00E31BAE"/>
    <w:rsid w:val="00E31C08"/>
    <w:rsid w:val="00E32053"/>
    <w:rsid w:val="00E32CCF"/>
    <w:rsid w:val="00E344E0"/>
    <w:rsid w:val="00E34A98"/>
    <w:rsid w:val="00E352F8"/>
    <w:rsid w:val="00E357A7"/>
    <w:rsid w:val="00E35D1E"/>
    <w:rsid w:val="00E364F9"/>
    <w:rsid w:val="00E365FA"/>
    <w:rsid w:val="00E37FDB"/>
    <w:rsid w:val="00E40B2C"/>
    <w:rsid w:val="00E40C94"/>
    <w:rsid w:val="00E42242"/>
    <w:rsid w:val="00E447A7"/>
    <w:rsid w:val="00E44A83"/>
    <w:rsid w:val="00E460B3"/>
    <w:rsid w:val="00E46385"/>
    <w:rsid w:val="00E4682F"/>
    <w:rsid w:val="00E502C1"/>
    <w:rsid w:val="00E502DD"/>
    <w:rsid w:val="00E50422"/>
    <w:rsid w:val="00E50D3A"/>
    <w:rsid w:val="00E51387"/>
    <w:rsid w:val="00E51DB5"/>
    <w:rsid w:val="00E51E68"/>
    <w:rsid w:val="00E52522"/>
    <w:rsid w:val="00E52EFD"/>
    <w:rsid w:val="00E534A0"/>
    <w:rsid w:val="00E5408A"/>
    <w:rsid w:val="00E55B33"/>
    <w:rsid w:val="00E564D3"/>
    <w:rsid w:val="00E56800"/>
    <w:rsid w:val="00E57758"/>
    <w:rsid w:val="00E57B80"/>
    <w:rsid w:val="00E6088E"/>
    <w:rsid w:val="00E60CD7"/>
    <w:rsid w:val="00E61A49"/>
    <w:rsid w:val="00E61EFB"/>
    <w:rsid w:val="00E624F2"/>
    <w:rsid w:val="00E62FF9"/>
    <w:rsid w:val="00E635D6"/>
    <w:rsid w:val="00E639BC"/>
    <w:rsid w:val="00E6472B"/>
    <w:rsid w:val="00E64825"/>
    <w:rsid w:val="00E664CC"/>
    <w:rsid w:val="00E6676A"/>
    <w:rsid w:val="00E66930"/>
    <w:rsid w:val="00E67CAB"/>
    <w:rsid w:val="00E70388"/>
    <w:rsid w:val="00E70EC5"/>
    <w:rsid w:val="00E70F92"/>
    <w:rsid w:val="00E712E6"/>
    <w:rsid w:val="00E7162B"/>
    <w:rsid w:val="00E7253E"/>
    <w:rsid w:val="00E72FBA"/>
    <w:rsid w:val="00E73763"/>
    <w:rsid w:val="00E74C54"/>
    <w:rsid w:val="00E76461"/>
    <w:rsid w:val="00E76CBB"/>
    <w:rsid w:val="00E77A03"/>
    <w:rsid w:val="00E81442"/>
    <w:rsid w:val="00E81EFB"/>
    <w:rsid w:val="00E822E8"/>
    <w:rsid w:val="00E82554"/>
    <w:rsid w:val="00E82606"/>
    <w:rsid w:val="00E83EE2"/>
    <w:rsid w:val="00E84428"/>
    <w:rsid w:val="00E84484"/>
    <w:rsid w:val="00E846C8"/>
    <w:rsid w:val="00E84957"/>
    <w:rsid w:val="00E84A55"/>
    <w:rsid w:val="00E85BFF"/>
    <w:rsid w:val="00E8636C"/>
    <w:rsid w:val="00E866B5"/>
    <w:rsid w:val="00E86CD9"/>
    <w:rsid w:val="00E90391"/>
    <w:rsid w:val="00E906C2"/>
    <w:rsid w:val="00E909F1"/>
    <w:rsid w:val="00E91177"/>
    <w:rsid w:val="00E9166F"/>
    <w:rsid w:val="00E91F25"/>
    <w:rsid w:val="00E9210C"/>
    <w:rsid w:val="00E929FC"/>
    <w:rsid w:val="00E92F14"/>
    <w:rsid w:val="00E9311F"/>
    <w:rsid w:val="00E934D1"/>
    <w:rsid w:val="00E94AF0"/>
    <w:rsid w:val="00E95D13"/>
    <w:rsid w:val="00E95DD3"/>
    <w:rsid w:val="00E969D5"/>
    <w:rsid w:val="00E973CB"/>
    <w:rsid w:val="00E97DFF"/>
    <w:rsid w:val="00EA01CD"/>
    <w:rsid w:val="00EA1FA8"/>
    <w:rsid w:val="00EA2A86"/>
    <w:rsid w:val="00EA3509"/>
    <w:rsid w:val="00EA3531"/>
    <w:rsid w:val="00EA4988"/>
    <w:rsid w:val="00EA58D1"/>
    <w:rsid w:val="00EA61BC"/>
    <w:rsid w:val="00EA67B2"/>
    <w:rsid w:val="00EA681A"/>
    <w:rsid w:val="00EA735B"/>
    <w:rsid w:val="00EA770F"/>
    <w:rsid w:val="00EB0004"/>
    <w:rsid w:val="00EB1E69"/>
    <w:rsid w:val="00EB2086"/>
    <w:rsid w:val="00EB5EDF"/>
    <w:rsid w:val="00EB60FE"/>
    <w:rsid w:val="00EB68EE"/>
    <w:rsid w:val="00EB74DB"/>
    <w:rsid w:val="00EB79C0"/>
    <w:rsid w:val="00EC02AF"/>
    <w:rsid w:val="00EC08ED"/>
    <w:rsid w:val="00EC174A"/>
    <w:rsid w:val="00EC223A"/>
    <w:rsid w:val="00EC2FD5"/>
    <w:rsid w:val="00EC34C8"/>
    <w:rsid w:val="00EC3E8B"/>
    <w:rsid w:val="00EC5359"/>
    <w:rsid w:val="00EC547A"/>
    <w:rsid w:val="00EC562A"/>
    <w:rsid w:val="00EC608B"/>
    <w:rsid w:val="00EC6E52"/>
    <w:rsid w:val="00EC7C0E"/>
    <w:rsid w:val="00ED067A"/>
    <w:rsid w:val="00ED1F5F"/>
    <w:rsid w:val="00ED2B50"/>
    <w:rsid w:val="00ED33CE"/>
    <w:rsid w:val="00ED43C3"/>
    <w:rsid w:val="00ED6AA4"/>
    <w:rsid w:val="00ED6FD1"/>
    <w:rsid w:val="00EE0350"/>
    <w:rsid w:val="00EE0719"/>
    <w:rsid w:val="00EE0E80"/>
    <w:rsid w:val="00EE11C8"/>
    <w:rsid w:val="00EE1ACE"/>
    <w:rsid w:val="00EE1C6F"/>
    <w:rsid w:val="00EE38AC"/>
    <w:rsid w:val="00EE4960"/>
    <w:rsid w:val="00EE4D58"/>
    <w:rsid w:val="00EE5883"/>
    <w:rsid w:val="00EE613F"/>
    <w:rsid w:val="00EE6485"/>
    <w:rsid w:val="00EE7295"/>
    <w:rsid w:val="00EE7869"/>
    <w:rsid w:val="00EF054A"/>
    <w:rsid w:val="00EF0BFD"/>
    <w:rsid w:val="00EF0E6C"/>
    <w:rsid w:val="00EF10EB"/>
    <w:rsid w:val="00EF178B"/>
    <w:rsid w:val="00EF3235"/>
    <w:rsid w:val="00EF4052"/>
    <w:rsid w:val="00EF4285"/>
    <w:rsid w:val="00EF6A07"/>
    <w:rsid w:val="00EF6DA3"/>
    <w:rsid w:val="00EF7D64"/>
    <w:rsid w:val="00EF7E72"/>
    <w:rsid w:val="00F00362"/>
    <w:rsid w:val="00F02A2B"/>
    <w:rsid w:val="00F03CEB"/>
    <w:rsid w:val="00F052CE"/>
    <w:rsid w:val="00F05E74"/>
    <w:rsid w:val="00F06D37"/>
    <w:rsid w:val="00F0721F"/>
    <w:rsid w:val="00F07B9D"/>
    <w:rsid w:val="00F11586"/>
    <w:rsid w:val="00F1183B"/>
    <w:rsid w:val="00F11C9F"/>
    <w:rsid w:val="00F12263"/>
    <w:rsid w:val="00F13A01"/>
    <w:rsid w:val="00F1409D"/>
    <w:rsid w:val="00F140F1"/>
    <w:rsid w:val="00F14214"/>
    <w:rsid w:val="00F146BD"/>
    <w:rsid w:val="00F157A9"/>
    <w:rsid w:val="00F17FEE"/>
    <w:rsid w:val="00F20901"/>
    <w:rsid w:val="00F22267"/>
    <w:rsid w:val="00F22812"/>
    <w:rsid w:val="00F234E3"/>
    <w:rsid w:val="00F23FAA"/>
    <w:rsid w:val="00F24E84"/>
    <w:rsid w:val="00F24F91"/>
    <w:rsid w:val="00F25BB6"/>
    <w:rsid w:val="00F26B7E"/>
    <w:rsid w:val="00F27A3B"/>
    <w:rsid w:val="00F27BE1"/>
    <w:rsid w:val="00F33817"/>
    <w:rsid w:val="00F35154"/>
    <w:rsid w:val="00F35707"/>
    <w:rsid w:val="00F35D04"/>
    <w:rsid w:val="00F36AF2"/>
    <w:rsid w:val="00F36C9D"/>
    <w:rsid w:val="00F40E12"/>
    <w:rsid w:val="00F420D5"/>
    <w:rsid w:val="00F424BE"/>
    <w:rsid w:val="00F42B7A"/>
    <w:rsid w:val="00F44423"/>
    <w:rsid w:val="00F451EA"/>
    <w:rsid w:val="00F45447"/>
    <w:rsid w:val="00F456C6"/>
    <w:rsid w:val="00F4577B"/>
    <w:rsid w:val="00F45904"/>
    <w:rsid w:val="00F46496"/>
    <w:rsid w:val="00F46649"/>
    <w:rsid w:val="00F46BA4"/>
    <w:rsid w:val="00F46E14"/>
    <w:rsid w:val="00F474D0"/>
    <w:rsid w:val="00F50179"/>
    <w:rsid w:val="00F52C93"/>
    <w:rsid w:val="00F53129"/>
    <w:rsid w:val="00F53D8E"/>
    <w:rsid w:val="00F5412E"/>
    <w:rsid w:val="00F5437C"/>
    <w:rsid w:val="00F54E77"/>
    <w:rsid w:val="00F553D7"/>
    <w:rsid w:val="00F55A7A"/>
    <w:rsid w:val="00F562C9"/>
    <w:rsid w:val="00F56511"/>
    <w:rsid w:val="00F6091C"/>
    <w:rsid w:val="00F60A7C"/>
    <w:rsid w:val="00F6163B"/>
    <w:rsid w:val="00F6194E"/>
    <w:rsid w:val="00F61B34"/>
    <w:rsid w:val="00F61ED3"/>
    <w:rsid w:val="00F623AC"/>
    <w:rsid w:val="00F630BE"/>
    <w:rsid w:val="00F6412A"/>
    <w:rsid w:val="00F64FBF"/>
    <w:rsid w:val="00F656BB"/>
    <w:rsid w:val="00F65893"/>
    <w:rsid w:val="00F6613A"/>
    <w:rsid w:val="00F66A4A"/>
    <w:rsid w:val="00F66ED0"/>
    <w:rsid w:val="00F67196"/>
    <w:rsid w:val="00F71E22"/>
    <w:rsid w:val="00F72142"/>
    <w:rsid w:val="00F728C7"/>
    <w:rsid w:val="00F72AE7"/>
    <w:rsid w:val="00F74167"/>
    <w:rsid w:val="00F7797D"/>
    <w:rsid w:val="00F77AE6"/>
    <w:rsid w:val="00F77B9E"/>
    <w:rsid w:val="00F805D4"/>
    <w:rsid w:val="00F80D6B"/>
    <w:rsid w:val="00F80F51"/>
    <w:rsid w:val="00F82CEB"/>
    <w:rsid w:val="00F83D59"/>
    <w:rsid w:val="00F842E8"/>
    <w:rsid w:val="00F84934"/>
    <w:rsid w:val="00F8494D"/>
    <w:rsid w:val="00F84FD0"/>
    <w:rsid w:val="00F859A8"/>
    <w:rsid w:val="00F90BF7"/>
    <w:rsid w:val="00F90C7C"/>
    <w:rsid w:val="00F90E66"/>
    <w:rsid w:val="00F9108B"/>
    <w:rsid w:val="00F91349"/>
    <w:rsid w:val="00F91D2F"/>
    <w:rsid w:val="00F91EC2"/>
    <w:rsid w:val="00F93A8A"/>
    <w:rsid w:val="00F95248"/>
    <w:rsid w:val="00F95301"/>
    <w:rsid w:val="00F956A9"/>
    <w:rsid w:val="00F961A2"/>
    <w:rsid w:val="00F963ED"/>
    <w:rsid w:val="00F966CF"/>
    <w:rsid w:val="00F96B1B"/>
    <w:rsid w:val="00F96CAE"/>
    <w:rsid w:val="00F97C99"/>
    <w:rsid w:val="00FA0BEF"/>
    <w:rsid w:val="00FA13F0"/>
    <w:rsid w:val="00FA2A09"/>
    <w:rsid w:val="00FA344D"/>
    <w:rsid w:val="00FA3E5D"/>
    <w:rsid w:val="00FA4C0B"/>
    <w:rsid w:val="00FA4D8F"/>
    <w:rsid w:val="00FA60FE"/>
    <w:rsid w:val="00FA662D"/>
    <w:rsid w:val="00FA6D15"/>
    <w:rsid w:val="00FA73B1"/>
    <w:rsid w:val="00FA73D2"/>
    <w:rsid w:val="00FB02FA"/>
    <w:rsid w:val="00FB07E3"/>
    <w:rsid w:val="00FB0CB9"/>
    <w:rsid w:val="00FB1C2E"/>
    <w:rsid w:val="00FB24DE"/>
    <w:rsid w:val="00FB325B"/>
    <w:rsid w:val="00FB3BFB"/>
    <w:rsid w:val="00FB45F1"/>
    <w:rsid w:val="00FB4A72"/>
    <w:rsid w:val="00FB5184"/>
    <w:rsid w:val="00FB53BE"/>
    <w:rsid w:val="00FB54E8"/>
    <w:rsid w:val="00FB5869"/>
    <w:rsid w:val="00FB6D3C"/>
    <w:rsid w:val="00FB7054"/>
    <w:rsid w:val="00FC14D4"/>
    <w:rsid w:val="00FC1627"/>
    <w:rsid w:val="00FC17B7"/>
    <w:rsid w:val="00FC2CB7"/>
    <w:rsid w:val="00FC3D35"/>
    <w:rsid w:val="00FC4090"/>
    <w:rsid w:val="00FC55B4"/>
    <w:rsid w:val="00FC5C5D"/>
    <w:rsid w:val="00FC7B17"/>
    <w:rsid w:val="00FC7EE0"/>
    <w:rsid w:val="00FD00E6"/>
    <w:rsid w:val="00FD09A1"/>
    <w:rsid w:val="00FD1DC6"/>
    <w:rsid w:val="00FD1E09"/>
    <w:rsid w:val="00FD2A7C"/>
    <w:rsid w:val="00FD2C95"/>
    <w:rsid w:val="00FD4968"/>
    <w:rsid w:val="00FD59EB"/>
    <w:rsid w:val="00FD6AEE"/>
    <w:rsid w:val="00FD7299"/>
    <w:rsid w:val="00FD7386"/>
    <w:rsid w:val="00FD7811"/>
    <w:rsid w:val="00FE0C63"/>
    <w:rsid w:val="00FE0CB7"/>
    <w:rsid w:val="00FE14B7"/>
    <w:rsid w:val="00FE1FBE"/>
    <w:rsid w:val="00FE230F"/>
    <w:rsid w:val="00FE2D95"/>
    <w:rsid w:val="00FE378A"/>
    <w:rsid w:val="00FE3901"/>
    <w:rsid w:val="00FE4BCE"/>
    <w:rsid w:val="00FE4EB1"/>
    <w:rsid w:val="00FE54AE"/>
    <w:rsid w:val="00FE576A"/>
    <w:rsid w:val="00FE61CF"/>
    <w:rsid w:val="00FE6B52"/>
    <w:rsid w:val="00FE7944"/>
    <w:rsid w:val="00FE7E79"/>
    <w:rsid w:val="00FF0C49"/>
    <w:rsid w:val="00FF0E9B"/>
    <w:rsid w:val="00FF15F0"/>
    <w:rsid w:val="00FF26E6"/>
    <w:rsid w:val="00FF3E7D"/>
    <w:rsid w:val="00FF503D"/>
    <w:rsid w:val="00FF5B99"/>
    <w:rsid w:val="00FF6B79"/>
    <w:rsid w:val="00FF730C"/>
    <w:rsid w:val="00FF73F4"/>
    <w:rsid w:val="00FF7690"/>
    <w:rsid w:val="00FF7CE4"/>
    <w:rsid w:val="00FF7E39"/>
    <w:rsid w:val="02FE6646"/>
    <w:rsid w:val="03632ACF"/>
    <w:rsid w:val="051931EE"/>
    <w:rsid w:val="05D364ED"/>
    <w:rsid w:val="065D35AE"/>
    <w:rsid w:val="068922C3"/>
    <w:rsid w:val="07CF5FF7"/>
    <w:rsid w:val="084F46C7"/>
    <w:rsid w:val="08C72F61"/>
    <w:rsid w:val="0911712B"/>
    <w:rsid w:val="09273A00"/>
    <w:rsid w:val="09764C94"/>
    <w:rsid w:val="09B6743C"/>
    <w:rsid w:val="0C175296"/>
    <w:rsid w:val="0CB87790"/>
    <w:rsid w:val="0F6D16A6"/>
    <w:rsid w:val="0FE72129"/>
    <w:rsid w:val="1299771C"/>
    <w:rsid w:val="13846466"/>
    <w:rsid w:val="146B1D0E"/>
    <w:rsid w:val="14EF0407"/>
    <w:rsid w:val="157D50D3"/>
    <w:rsid w:val="158C17BA"/>
    <w:rsid w:val="15E8060D"/>
    <w:rsid w:val="18BB5BB4"/>
    <w:rsid w:val="19277D10"/>
    <w:rsid w:val="1B030D6A"/>
    <w:rsid w:val="1BF05965"/>
    <w:rsid w:val="1D1A1CF0"/>
    <w:rsid w:val="1E4315A2"/>
    <w:rsid w:val="1F24418F"/>
    <w:rsid w:val="1F4C1BFB"/>
    <w:rsid w:val="20A534A3"/>
    <w:rsid w:val="210C7C53"/>
    <w:rsid w:val="225F2993"/>
    <w:rsid w:val="23B24AE2"/>
    <w:rsid w:val="23CE2162"/>
    <w:rsid w:val="2A1738F0"/>
    <w:rsid w:val="2AC60E73"/>
    <w:rsid w:val="2AEA3EAC"/>
    <w:rsid w:val="2B4C07A1"/>
    <w:rsid w:val="2B7A465F"/>
    <w:rsid w:val="2B823D94"/>
    <w:rsid w:val="2BF8505C"/>
    <w:rsid w:val="2C1A0C98"/>
    <w:rsid w:val="2CC118F2"/>
    <w:rsid w:val="2CF34BF7"/>
    <w:rsid w:val="2D14510E"/>
    <w:rsid w:val="2DFC2273"/>
    <w:rsid w:val="2E2A267C"/>
    <w:rsid w:val="2F656EAC"/>
    <w:rsid w:val="2FD8480D"/>
    <w:rsid w:val="30AF2155"/>
    <w:rsid w:val="31A03B35"/>
    <w:rsid w:val="31F22201"/>
    <w:rsid w:val="325B78A5"/>
    <w:rsid w:val="340F29E6"/>
    <w:rsid w:val="346654CC"/>
    <w:rsid w:val="34796F56"/>
    <w:rsid w:val="36C24359"/>
    <w:rsid w:val="39F8197E"/>
    <w:rsid w:val="3A0E2CEF"/>
    <w:rsid w:val="3C5F65E3"/>
    <w:rsid w:val="3C67733A"/>
    <w:rsid w:val="3E291D82"/>
    <w:rsid w:val="409F4195"/>
    <w:rsid w:val="41495520"/>
    <w:rsid w:val="415B4202"/>
    <w:rsid w:val="41E13786"/>
    <w:rsid w:val="43123B90"/>
    <w:rsid w:val="4372569C"/>
    <w:rsid w:val="46B207D1"/>
    <w:rsid w:val="47C33B78"/>
    <w:rsid w:val="47D5212A"/>
    <w:rsid w:val="48C2141A"/>
    <w:rsid w:val="4B65100D"/>
    <w:rsid w:val="4E280315"/>
    <w:rsid w:val="4E2F1BA8"/>
    <w:rsid w:val="4F8A37FF"/>
    <w:rsid w:val="4FD16698"/>
    <w:rsid w:val="504273BB"/>
    <w:rsid w:val="52297A2E"/>
    <w:rsid w:val="530B744A"/>
    <w:rsid w:val="53C64251"/>
    <w:rsid w:val="53F5008F"/>
    <w:rsid w:val="55CA70E8"/>
    <w:rsid w:val="57B01381"/>
    <w:rsid w:val="591A3FB4"/>
    <w:rsid w:val="593E7BD9"/>
    <w:rsid w:val="5AC43250"/>
    <w:rsid w:val="5BCB6B54"/>
    <w:rsid w:val="5BDC5206"/>
    <w:rsid w:val="5CC4476D"/>
    <w:rsid w:val="5CD268BB"/>
    <w:rsid w:val="5D35267E"/>
    <w:rsid w:val="5D891A32"/>
    <w:rsid w:val="5DD5679A"/>
    <w:rsid w:val="5DD72654"/>
    <w:rsid w:val="5E070D6C"/>
    <w:rsid w:val="5F9E149B"/>
    <w:rsid w:val="5FF31F47"/>
    <w:rsid w:val="60344CB7"/>
    <w:rsid w:val="64104031"/>
    <w:rsid w:val="650E6A4A"/>
    <w:rsid w:val="66621E1D"/>
    <w:rsid w:val="68C87588"/>
    <w:rsid w:val="697D7288"/>
    <w:rsid w:val="69991ED4"/>
    <w:rsid w:val="6A8D2838"/>
    <w:rsid w:val="6ABE0C43"/>
    <w:rsid w:val="6B5A3803"/>
    <w:rsid w:val="6D875BFC"/>
    <w:rsid w:val="6E6A2AB5"/>
    <w:rsid w:val="6F570585"/>
    <w:rsid w:val="6FD2598B"/>
    <w:rsid w:val="71120539"/>
    <w:rsid w:val="717634AB"/>
    <w:rsid w:val="721969D3"/>
    <w:rsid w:val="726735D8"/>
    <w:rsid w:val="73122D05"/>
    <w:rsid w:val="739C6936"/>
    <w:rsid w:val="74861369"/>
    <w:rsid w:val="753760E9"/>
    <w:rsid w:val="77613543"/>
    <w:rsid w:val="77BD2214"/>
    <w:rsid w:val="78916E11"/>
    <w:rsid w:val="79957AFA"/>
    <w:rsid w:val="7B9057F5"/>
    <w:rsid w:val="7C0C2DC2"/>
    <w:rsid w:val="7D82758D"/>
    <w:rsid w:val="7E724E44"/>
    <w:rsid w:val="7E8F0630"/>
    <w:rsid w:val="7EE250FD"/>
    <w:rsid w:val="7FE53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0"/>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1"/>
    <w:qFormat/>
    <w:uiPriority w:val="0"/>
    <w:pPr>
      <w:keepNext/>
      <w:keepLines/>
      <w:spacing w:before="260" w:after="260" w:line="416" w:lineRule="auto"/>
      <w:outlineLvl w:val="2"/>
    </w:pPr>
    <w:rPr>
      <w:b/>
      <w:bCs/>
      <w:sz w:val="32"/>
      <w:szCs w:val="32"/>
    </w:rPr>
  </w:style>
  <w:style w:type="paragraph" w:styleId="5">
    <w:name w:val="heading 4"/>
    <w:basedOn w:val="1"/>
    <w:next w:val="1"/>
    <w:link w:val="4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3"/>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4"/>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5"/>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6"/>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7"/>
    <w:qFormat/>
    <w:uiPriority w:val="0"/>
    <w:pPr>
      <w:keepNext/>
      <w:keepLines/>
      <w:adjustRightInd/>
      <w:spacing w:before="240" w:after="64" w:line="320" w:lineRule="auto"/>
      <w:outlineLvl w:val="8"/>
    </w:pPr>
    <w:rPr>
      <w:rFonts w:ascii="Arial" w:hAnsi="Arial" w:eastAsia="黑体"/>
    </w:rPr>
  </w:style>
  <w:style w:type="character" w:default="1" w:styleId="32">
    <w:name w:val="Default Paragraph Font"/>
    <w:semiHidden/>
    <w:unhideWhenUsed/>
    <w:qFormat/>
    <w:uiPriority w:val="1"/>
  </w:style>
  <w:style w:type="table" w:default="1" w:styleId="30">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34"/>
    <w:unhideWhenUsed/>
    <w:qFormat/>
    <w:uiPriority w:val="99"/>
    <w:pPr>
      <w:jc w:val="left"/>
    </w:pPr>
  </w:style>
  <w:style w:type="paragraph" w:styleId="14">
    <w:name w:val="Body Text"/>
    <w:basedOn w:val="1"/>
    <w:link w:val="91"/>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Date"/>
    <w:basedOn w:val="1"/>
    <w:next w:val="1"/>
    <w:link w:val="238"/>
    <w:semiHidden/>
    <w:unhideWhenUsed/>
    <w:qFormat/>
    <w:uiPriority w:val="99"/>
    <w:pPr>
      <w:ind w:left="100" w:leftChars="2500"/>
    </w:pPr>
  </w:style>
  <w:style w:type="paragraph" w:styleId="18">
    <w:name w:val="Balloon Text"/>
    <w:basedOn w:val="1"/>
    <w:link w:val="50"/>
    <w:semiHidden/>
    <w:unhideWhenUsed/>
    <w:qFormat/>
    <w:uiPriority w:val="99"/>
    <w:rPr>
      <w:sz w:val="18"/>
      <w:szCs w:val="18"/>
    </w:rPr>
  </w:style>
  <w:style w:type="paragraph" w:styleId="19">
    <w:name w:val="footer"/>
    <w:basedOn w:val="1"/>
    <w:link w:val="49"/>
    <w:qFormat/>
    <w:uiPriority w:val="99"/>
    <w:pPr>
      <w:tabs>
        <w:tab w:val="center" w:pos="4153"/>
        <w:tab w:val="right" w:pos="8306"/>
      </w:tabs>
      <w:adjustRightInd/>
      <w:snapToGrid w:val="0"/>
      <w:spacing w:line="240" w:lineRule="auto"/>
      <w:jc w:val="right"/>
    </w:pPr>
    <w:rPr>
      <w:rFonts w:ascii="宋体"/>
      <w:sz w:val="18"/>
      <w:szCs w:val="18"/>
    </w:rPr>
  </w:style>
  <w:style w:type="paragraph" w:styleId="20">
    <w:name w:val="header"/>
    <w:basedOn w:val="1"/>
    <w:link w:val="48"/>
    <w:qFormat/>
    <w:uiPriority w:val="99"/>
    <w:pPr>
      <w:tabs>
        <w:tab w:val="center" w:pos="4153"/>
        <w:tab w:val="right" w:pos="8306"/>
      </w:tabs>
      <w:adjustRightInd/>
      <w:snapToGrid w:val="0"/>
      <w:jc w:val="center"/>
    </w:pPr>
    <w:rPr>
      <w:sz w:val="18"/>
      <w:szCs w:val="18"/>
    </w:rPr>
  </w:style>
  <w:style w:type="paragraph" w:styleId="21">
    <w:name w:val="toc 1"/>
    <w:basedOn w:val="1"/>
    <w:next w:val="1"/>
    <w:unhideWhenUsed/>
    <w:qFormat/>
    <w:uiPriority w:val="39"/>
    <w:rPr>
      <w:rFonts w:ascii="宋体"/>
    </w:rPr>
  </w:style>
  <w:style w:type="paragraph" w:styleId="22">
    <w:name w:val="toc 4"/>
    <w:basedOn w:val="1"/>
    <w:next w:val="1"/>
    <w:unhideWhenUsed/>
    <w:qFormat/>
    <w:uiPriority w:val="39"/>
    <w:pPr>
      <w:tabs>
        <w:tab w:val="right" w:leader="dot" w:pos="9344"/>
      </w:tabs>
      <w:spacing w:line="300" w:lineRule="exact"/>
      <w:ind w:left="629"/>
    </w:pPr>
    <w:rPr>
      <w:rFonts w:ascii="宋体"/>
    </w:rPr>
  </w:style>
  <w:style w:type="paragraph" w:styleId="23">
    <w:name w:val="footnote text"/>
    <w:basedOn w:val="1"/>
    <w:next w:val="1"/>
    <w:link w:val="104"/>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4">
    <w:name w:val="toc 6"/>
    <w:basedOn w:val="1"/>
    <w:next w:val="1"/>
    <w:unhideWhenUsed/>
    <w:qFormat/>
    <w:uiPriority w:val="39"/>
    <w:pPr>
      <w:spacing w:line="300" w:lineRule="exact"/>
      <w:ind w:left="1049"/>
    </w:pPr>
    <w:rPr>
      <w:rFonts w:ascii="宋体"/>
    </w:rPr>
  </w:style>
  <w:style w:type="paragraph" w:styleId="25">
    <w:name w:val="table of figures"/>
    <w:basedOn w:val="1"/>
    <w:next w:val="1"/>
    <w:semiHidden/>
    <w:qFormat/>
    <w:uiPriority w:val="0"/>
    <w:pPr>
      <w:adjustRightInd/>
      <w:spacing w:line="240" w:lineRule="auto"/>
      <w:jc w:val="left"/>
    </w:pPr>
    <w:rPr>
      <w:szCs w:val="24"/>
    </w:rPr>
  </w:style>
  <w:style w:type="paragraph" w:styleId="26">
    <w:name w:val="toc 2"/>
    <w:basedOn w:val="1"/>
    <w:next w:val="1"/>
    <w:unhideWhenUsed/>
    <w:qFormat/>
    <w:uiPriority w:val="39"/>
    <w:pPr>
      <w:tabs>
        <w:tab w:val="right" w:leader="dot" w:pos="9344"/>
      </w:tabs>
      <w:spacing w:line="300" w:lineRule="exact"/>
      <w:ind w:left="210"/>
    </w:pPr>
    <w:rPr>
      <w:rFonts w:ascii="宋体"/>
    </w:rPr>
  </w:style>
  <w:style w:type="paragraph" w:styleId="27">
    <w:name w:val="Normal (Web)"/>
    <w:basedOn w:val="1"/>
    <w:semiHidden/>
    <w:unhideWhenUsed/>
    <w:qFormat/>
    <w:uiPriority w:val="99"/>
    <w:rPr>
      <w:sz w:val="24"/>
    </w:rPr>
  </w:style>
  <w:style w:type="paragraph" w:styleId="28">
    <w:name w:val="Title"/>
    <w:basedOn w:val="1"/>
    <w:link w:val="53"/>
    <w:qFormat/>
    <w:uiPriority w:val="0"/>
    <w:pPr>
      <w:spacing w:before="240" w:after="60"/>
      <w:jc w:val="center"/>
      <w:outlineLvl w:val="0"/>
    </w:pPr>
    <w:rPr>
      <w:rFonts w:ascii="Arial" w:hAnsi="Arial" w:cs="Arial"/>
      <w:b/>
      <w:bCs/>
      <w:sz w:val="32"/>
      <w:szCs w:val="32"/>
    </w:rPr>
  </w:style>
  <w:style w:type="paragraph" w:styleId="29">
    <w:name w:val="annotation subject"/>
    <w:basedOn w:val="13"/>
    <w:next w:val="13"/>
    <w:link w:val="235"/>
    <w:semiHidden/>
    <w:unhideWhenUsed/>
    <w:qFormat/>
    <w:uiPriority w:val="99"/>
    <w:rPr>
      <w:b/>
      <w:bCs/>
    </w:rPr>
  </w:style>
  <w:style w:type="table" w:styleId="31">
    <w:name w:val="Table Grid"/>
    <w:basedOn w:val="3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22"/>
    <w:rPr>
      <w:b/>
      <w:bCs/>
    </w:rPr>
  </w:style>
  <w:style w:type="character" w:styleId="34">
    <w:name w:val="page number"/>
    <w:qFormat/>
    <w:uiPriority w:val="0"/>
    <w:rPr>
      <w:rFonts w:ascii="宋体" w:hAnsi="Times New Roman" w:eastAsia="宋体"/>
      <w:sz w:val="18"/>
    </w:rPr>
  </w:style>
  <w:style w:type="character" w:styleId="35">
    <w:name w:val="Emphasis"/>
    <w:qFormat/>
    <w:uiPriority w:val="20"/>
    <w:rPr>
      <w:i/>
      <w:iCs/>
    </w:rPr>
  </w:style>
  <w:style w:type="character" w:styleId="36">
    <w:name w:val="Hyperlink"/>
    <w:qFormat/>
    <w:uiPriority w:val="99"/>
    <w:rPr>
      <w:rFonts w:ascii="宋体" w:hAnsi="Times New Roman" w:eastAsia="宋体"/>
      <w:color w:val="auto"/>
      <w:spacing w:val="0"/>
      <w:w w:val="100"/>
      <w:position w:val="0"/>
      <w:sz w:val="21"/>
      <w:u w:val="none"/>
      <w:vertAlign w:val="baseline"/>
    </w:rPr>
  </w:style>
  <w:style w:type="character" w:styleId="37">
    <w:name w:val="annotation reference"/>
    <w:basedOn w:val="32"/>
    <w:semiHidden/>
    <w:unhideWhenUsed/>
    <w:qFormat/>
    <w:uiPriority w:val="99"/>
    <w:rPr>
      <w:sz w:val="21"/>
      <w:szCs w:val="21"/>
    </w:rPr>
  </w:style>
  <w:style w:type="character" w:styleId="38">
    <w:name w:val="footnote reference"/>
    <w:semiHidden/>
    <w:qFormat/>
    <w:uiPriority w:val="0"/>
    <w:rPr>
      <w:rFonts w:ascii="宋体" w:hAnsi="宋体" w:eastAsia="宋体" w:cs="Times New Roman"/>
      <w:spacing w:val="0"/>
      <w:sz w:val="18"/>
      <w:vertAlign w:val="superscript"/>
    </w:rPr>
  </w:style>
  <w:style w:type="character" w:customStyle="1" w:styleId="39">
    <w:name w:val="标题 1 字符"/>
    <w:link w:val="2"/>
    <w:qFormat/>
    <w:uiPriority w:val="0"/>
    <w:rPr>
      <w:rFonts w:ascii="Times New Roman" w:hAnsi="Times New Roman" w:eastAsia="宋体" w:cs="Times New Roman"/>
      <w:b/>
      <w:bCs/>
      <w:kern w:val="44"/>
      <w:sz w:val="44"/>
      <w:szCs w:val="44"/>
    </w:rPr>
  </w:style>
  <w:style w:type="character" w:customStyle="1" w:styleId="40">
    <w:name w:val="标题 2 字符"/>
    <w:link w:val="3"/>
    <w:qFormat/>
    <w:uiPriority w:val="0"/>
    <w:rPr>
      <w:rFonts w:ascii="Arial" w:hAnsi="Arial" w:eastAsia="黑体" w:cs="Times New Roman"/>
      <w:b/>
      <w:bCs/>
      <w:sz w:val="32"/>
      <w:szCs w:val="32"/>
    </w:rPr>
  </w:style>
  <w:style w:type="character" w:customStyle="1" w:styleId="41">
    <w:name w:val="标题 3 字符"/>
    <w:link w:val="4"/>
    <w:qFormat/>
    <w:uiPriority w:val="0"/>
    <w:rPr>
      <w:rFonts w:ascii="Times New Roman" w:hAnsi="Times New Roman" w:eastAsia="宋体" w:cs="Times New Roman"/>
      <w:b/>
      <w:bCs/>
      <w:sz w:val="32"/>
      <w:szCs w:val="32"/>
    </w:rPr>
  </w:style>
  <w:style w:type="character" w:customStyle="1" w:styleId="42">
    <w:name w:val="标题 4 字符"/>
    <w:link w:val="5"/>
    <w:qFormat/>
    <w:uiPriority w:val="0"/>
    <w:rPr>
      <w:rFonts w:ascii="Arial" w:hAnsi="Arial" w:eastAsia="黑体" w:cs="Times New Roman"/>
      <w:b/>
      <w:bCs/>
      <w:sz w:val="28"/>
      <w:szCs w:val="28"/>
    </w:rPr>
  </w:style>
  <w:style w:type="character" w:customStyle="1" w:styleId="43">
    <w:name w:val="标题 5 字符"/>
    <w:link w:val="6"/>
    <w:qFormat/>
    <w:uiPriority w:val="0"/>
    <w:rPr>
      <w:rFonts w:ascii="Times New Roman" w:hAnsi="Times New Roman" w:eastAsia="宋体" w:cs="Times New Roman"/>
      <w:b/>
      <w:bCs/>
      <w:sz w:val="28"/>
      <w:szCs w:val="28"/>
    </w:rPr>
  </w:style>
  <w:style w:type="character" w:customStyle="1" w:styleId="44">
    <w:name w:val="标题 6 字符"/>
    <w:link w:val="7"/>
    <w:qFormat/>
    <w:uiPriority w:val="0"/>
    <w:rPr>
      <w:rFonts w:ascii="Arial" w:hAnsi="Arial" w:eastAsia="黑体" w:cs="Times New Roman"/>
      <w:b/>
      <w:bCs/>
      <w:sz w:val="24"/>
      <w:szCs w:val="24"/>
    </w:rPr>
  </w:style>
  <w:style w:type="character" w:customStyle="1" w:styleId="45">
    <w:name w:val="标题 7 字符"/>
    <w:link w:val="8"/>
    <w:qFormat/>
    <w:uiPriority w:val="0"/>
    <w:rPr>
      <w:rFonts w:ascii="Times New Roman" w:hAnsi="Times New Roman" w:eastAsia="宋体" w:cs="Times New Roman"/>
      <w:b/>
      <w:bCs/>
      <w:sz w:val="24"/>
      <w:szCs w:val="24"/>
    </w:rPr>
  </w:style>
  <w:style w:type="character" w:customStyle="1" w:styleId="46">
    <w:name w:val="标题 8 字符"/>
    <w:link w:val="9"/>
    <w:qFormat/>
    <w:uiPriority w:val="0"/>
    <w:rPr>
      <w:rFonts w:ascii="Arial" w:hAnsi="Arial" w:eastAsia="黑体" w:cs="Times New Roman"/>
      <w:sz w:val="24"/>
      <w:szCs w:val="24"/>
    </w:rPr>
  </w:style>
  <w:style w:type="character" w:customStyle="1" w:styleId="47">
    <w:name w:val="标题 9 字符"/>
    <w:link w:val="10"/>
    <w:qFormat/>
    <w:uiPriority w:val="0"/>
    <w:rPr>
      <w:rFonts w:ascii="Arial" w:hAnsi="Arial" w:eastAsia="黑体" w:cs="Times New Roman"/>
      <w:szCs w:val="21"/>
    </w:rPr>
  </w:style>
  <w:style w:type="character" w:customStyle="1" w:styleId="48">
    <w:name w:val="页眉 字符"/>
    <w:link w:val="20"/>
    <w:qFormat/>
    <w:uiPriority w:val="99"/>
    <w:rPr>
      <w:rFonts w:ascii="Times New Roman" w:hAnsi="Times New Roman" w:eastAsia="宋体" w:cs="Times New Roman"/>
      <w:sz w:val="18"/>
      <w:szCs w:val="18"/>
    </w:rPr>
  </w:style>
  <w:style w:type="character" w:customStyle="1" w:styleId="49">
    <w:name w:val="页脚 字符"/>
    <w:link w:val="19"/>
    <w:qFormat/>
    <w:uiPriority w:val="99"/>
    <w:rPr>
      <w:rFonts w:ascii="宋体" w:hAnsi="Times New Roman" w:eastAsia="宋体" w:cs="Times New Roman"/>
      <w:sz w:val="18"/>
      <w:szCs w:val="18"/>
    </w:rPr>
  </w:style>
  <w:style w:type="character" w:customStyle="1" w:styleId="50">
    <w:name w:val="批注框文本 字符"/>
    <w:link w:val="18"/>
    <w:semiHidden/>
    <w:qFormat/>
    <w:uiPriority w:val="99"/>
    <w:rPr>
      <w:sz w:val="18"/>
      <w:szCs w:val="18"/>
    </w:rPr>
  </w:style>
  <w:style w:type="paragraph" w:styleId="51">
    <w:name w:val="Quote"/>
    <w:basedOn w:val="1"/>
    <w:next w:val="1"/>
    <w:link w:val="52"/>
    <w:qFormat/>
    <w:uiPriority w:val="29"/>
    <w:rPr>
      <w:i/>
      <w:iCs/>
      <w:color w:val="000000"/>
    </w:rPr>
  </w:style>
  <w:style w:type="character" w:customStyle="1" w:styleId="52">
    <w:name w:val="引用 字符"/>
    <w:link w:val="51"/>
    <w:qFormat/>
    <w:uiPriority w:val="29"/>
    <w:rPr>
      <w:i/>
      <w:iCs/>
      <w:color w:val="000000"/>
    </w:rPr>
  </w:style>
  <w:style w:type="character" w:customStyle="1" w:styleId="53">
    <w:name w:val="标题 字符"/>
    <w:link w:val="28"/>
    <w:qFormat/>
    <w:uiPriority w:val="0"/>
    <w:rPr>
      <w:rFonts w:ascii="Arial" w:hAnsi="Arial" w:eastAsia="宋体" w:cs="Arial"/>
      <w:b/>
      <w:bCs/>
      <w:sz w:val="32"/>
      <w:szCs w:val="32"/>
    </w:rPr>
  </w:style>
  <w:style w:type="paragraph" w:customStyle="1" w:styleId="54">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5">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6">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7">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8">
    <w:name w:val="标准书眉一"/>
    <w:qFormat/>
    <w:uiPriority w:val="0"/>
    <w:pPr>
      <w:jc w:val="both"/>
    </w:pPr>
    <w:rPr>
      <w:rFonts w:ascii="Times New Roman" w:hAnsi="Times New Roman" w:eastAsia="宋体" w:cs="Times New Roman"/>
      <w:lang w:val="en-US" w:eastAsia="zh-CN" w:bidi="ar-SA"/>
    </w:rPr>
  </w:style>
  <w:style w:type="paragraph" w:customStyle="1" w:styleId="59">
    <w:name w:val="标准文件_ICS"/>
    <w:basedOn w:val="1"/>
    <w:qFormat/>
    <w:uiPriority w:val="0"/>
    <w:pPr>
      <w:spacing w:line="0" w:lineRule="atLeast"/>
    </w:pPr>
    <w:rPr>
      <w:rFonts w:ascii="黑体" w:hAnsi="宋体" w:eastAsia="黑体"/>
    </w:rPr>
  </w:style>
  <w:style w:type="paragraph" w:customStyle="1" w:styleId="60">
    <w:name w:val="标准文件_标准正文"/>
    <w:basedOn w:val="1"/>
    <w:next w:val="61"/>
    <w:qFormat/>
    <w:uiPriority w:val="0"/>
    <w:pPr>
      <w:snapToGrid w:val="0"/>
      <w:ind w:firstLine="200" w:firstLineChars="200"/>
    </w:pPr>
    <w:rPr>
      <w:kern w:val="0"/>
    </w:rPr>
  </w:style>
  <w:style w:type="paragraph" w:customStyle="1" w:styleId="61">
    <w:name w:val="标准文件_段"/>
    <w:link w:val="18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2">
    <w:name w:val="标准文件_版本"/>
    <w:basedOn w:val="60"/>
    <w:qFormat/>
    <w:uiPriority w:val="0"/>
    <w:pPr>
      <w:adjustRightInd/>
      <w:snapToGrid/>
      <w:ind w:firstLine="0" w:firstLineChars="0"/>
    </w:pPr>
    <w:rPr>
      <w:rFonts w:ascii="宋体" w:hAnsi="宋体"/>
      <w:kern w:val="2"/>
    </w:rPr>
  </w:style>
  <w:style w:type="paragraph" w:customStyle="1" w:styleId="63">
    <w:name w:val="标准文件_标准部门"/>
    <w:basedOn w:val="1"/>
    <w:qFormat/>
    <w:uiPriority w:val="0"/>
    <w:pPr>
      <w:jc w:val="center"/>
    </w:pPr>
    <w:rPr>
      <w:rFonts w:ascii="黑体" w:eastAsia="黑体"/>
      <w:kern w:val="0"/>
      <w:sz w:val="44"/>
    </w:rPr>
  </w:style>
  <w:style w:type="paragraph" w:customStyle="1" w:styleId="64">
    <w:name w:val="标准文件_标准代替"/>
    <w:basedOn w:val="1"/>
    <w:next w:val="1"/>
    <w:qFormat/>
    <w:uiPriority w:val="0"/>
    <w:pPr>
      <w:spacing w:line="310" w:lineRule="exact"/>
      <w:jc w:val="right"/>
    </w:pPr>
    <w:rPr>
      <w:rFonts w:ascii="宋体" w:hAnsi="宋体"/>
      <w:kern w:val="0"/>
    </w:rPr>
  </w:style>
  <w:style w:type="paragraph" w:customStyle="1" w:styleId="65">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6">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7">
    <w:name w:val="标准文件_页眉偶数页"/>
    <w:basedOn w:val="66"/>
    <w:next w:val="1"/>
    <w:qFormat/>
    <w:uiPriority w:val="0"/>
    <w:pPr>
      <w:jc w:val="left"/>
    </w:pPr>
  </w:style>
  <w:style w:type="paragraph" w:customStyle="1" w:styleId="68">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9">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70">
    <w:name w:val="标准文件_二级条标题"/>
    <w:next w:val="61"/>
    <w:qFormat/>
    <w:uiPriority w:val="0"/>
    <w:pPr>
      <w:widowControl w:val="0"/>
      <w:numPr>
        <w:ilvl w:val="3"/>
        <w:numId w:val="2"/>
      </w:numPr>
      <w:spacing w:before="50" w:beforeLines="50" w:after="50" w:afterLines="50"/>
      <w:ind w:left="0"/>
      <w:jc w:val="both"/>
      <w:outlineLvl w:val="2"/>
    </w:pPr>
    <w:rPr>
      <w:rFonts w:ascii="黑体" w:hAnsi="Times New Roman" w:eastAsia="黑体" w:cs="Times New Roman"/>
      <w:sz w:val="21"/>
      <w:lang w:val="en-US" w:eastAsia="zh-CN" w:bidi="ar-SA"/>
    </w:rPr>
  </w:style>
  <w:style w:type="character" w:customStyle="1" w:styleId="71">
    <w:name w:val="标准文件_发布"/>
    <w:qFormat/>
    <w:uiPriority w:val="0"/>
    <w:rPr>
      <w:rFonts w:ascii="黑体" w:eastAsia="黑体"/>
      <w:spacing w:val="0"/>
      <w:w w:val="100"/>
      <w:position w:val="3"/>
      <w:sz w:val="28"/>
    </w:rPr>
  </w:style>
  <w:style w:type="paragraph" w:customStyle="1" w:styleId="72">
    <w:name w:val="标准文件_方框数字列项"/>
    <w:basedOn w:val="61"/>
    <w:qFormat/>
    <w:uiPriority w:val="0"/>
    <w:pPr>
      <w:numPr>
        <w:ilvl w:val="0"/>
        <w:numId w:val="3"/>
      </w:numPr>
      <w:ind w:firstLine="0" w:firstLineChars="0"/>
    </w:pPr>
  </w:style>
  <w:style w:type="paragraph" w:customStyle="1" w:styleId="73">
    <w:name w:val="标准文件_封面标准编号"/>
    <w:basedOn w:val="1"/>
    <w:next w:val="64"/>
    <w:qFormat/>
    <w:uiPriority w:val="0"/>
    <w:pPr>
      <w:spacing w:line="310" w:lineRule="exact"/>
      <w:jc w:val="right"/>
    </w:pPr>
    <w:rPr>
      <w:rFonts w:ascii="黑体" w:eastAsia="黑体"/>
      <w:kern w:val="0"/>
      <w:sz w:val="28"/>
    </w:rPr>
  </w:style>
  <w:style w:type="paragraph" w:customStyle="1" w:styleId="74">
    <w:name w:val="标准文件_封面标准分类号"/>
    <w:basedOn w:val="1"/>
    <w:qFormat/>
    <w:uiPriority w:val="0"/>
    <w:rPr>
      <w:rFonts w:ascii="黑体" w:eastAsia="黑体"/>
      <w:b/>
      <w:kern w:val="0"/>
      <w:sz w:val="28"/>
    </w:rPr>
  </w:style>
  <w:style w:type="paragraph" w:customStyle="1" w:styleId="75">
    <w:name w:val="标准文件_封面标准名称"/>
    <w:basedOn w:val="1"/>
    <w:qFormat/>
    <w:uiPriority w:val="0"/>
    <w:pPr>
      <w:spacing w:line="240" w:lineRule="auto"/>
      <w:jc w:val="center"/>
    </w:pPr>
    <w:rPr>
      <w:rFonts w:ascii="黑体" w:eastAsia="黑体"/>
      <w:kern w:val="0"/>
      <w:sz w:val="52"/>
    </w:rPr>
  </w:style>
  <w:style w:type="paragraph" w:customStyle="1" w:styleId="76">
    <w:name w:val="标准文件_封面标准英文名称"/>
    <w:basedOn w:val="1"/>
    <w:qFormat/>
    <w:uiPriority w:val="0"/>
    <w:pPr>
      <w:spacing w:line="240" w:lineRule="auto"/>
      <w:jc w:val="center"/>
    </w:pPr>
    <w:rPr>
      <w:rFonts w:ascii="黑体" w:eastAsia="黑体"/>
      <w:b/>
      <w:sz w:val="28"/>
    </w:rPr>
  </w:style>
  <w:style w:type="paragraph" w:customStyle="1" w:styleId="77">
    <w:name w:val="标准文件_封面发布日期"/>
    <w:basedOn w:val="1"/>
    <w:qFormat/>
    <w:uiPriority w:val="0"/>
    <w:pPr>
      <w:spacing w:line="310" w:lineRule="exact"/>
    </w:pPr>
    <w:rPr>
      <w:rFonts w:ascii="黑体" w:eastAsia="黑体"/>
      <w:kern w:val="0"/>
      <w:sz w:val="28"/>
    </w:rPr>
  </w:style>
  <w:style w:type="paragraph" w:customStyle="1" w:styleId="78">
    <w:name w:val="标准文件_封面密级"/>
    <w:basedOn w:val="1"/>
    <w:qFormat/>
    <w:uiPriority w:val="0"/>
    <w:rPr>
      <w:rFonts w:eastAsia="黑体"/>
      <w:sz w:val="32"/>
    </w:rPr>
  </w:style>
  <w:style w:type="paragraph" w:customStyle="1" w:styleId="79">
    <w:name w:val="标准文件_封面实施日期"/>
    <w:basedOn w:val="1"/>
    <w:qFormat/>
    <w:uiPriority w:val="0"/>
    <w:pPr>
      <w:spacing w:line="310" w:lineRule="exact"/>
      <w:jc w:val="right"/>
    </w:pPr>
    <w:rPr>
      <w:rFonts w:ascii="黑体" w:eastAsia="黑体"/>
      <w:sz w:val="28"/>
    </w:rPr>
  </w:style>
  <w:style w:type="paragraph" w:customStyle="1" w:styleId="80">
    <w:name w:val="标准文件_封面抬头"/>
    <w:basedOn w:val="61"/>
    <w:qFormat/>
    <w:uiPriority w:val="0"/>
    <w:pPr>
      <w:adjustRightInd w:val="0"/>
      <w:spacing w:line="800" w:lineRule="exact"/>
      <w:ind w:firstLine="0" w:firstLineChars="0"/>
      <w:jc w:val="distribute"/>
    </w:pPr>
    <w:rPr>
      <w:rFonts w:ascii="黑体" w:eastAsia="黑体"/>
      <w:b/>
      <w:sz w:val="64"/>
    </w:rPr>
  </w:style>
  <w:style w:type="paragraph" w:customStyle="1" w:styleId="81">
    <w:name w:val="标准文件_附录标识"/>
    <w:next w:val="61"/>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82">
    <w:name w:val="标准文件_附录表标题"/>
    <w:next w:val="61"/>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3">
    <w:name w:val="标准文件_附录一级条标题"/>
    <w:next w:val="61"/>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4">
    <w:name w:val="标准文件_附录二级条标题"/>
    <w:basedOn w:val="83"/>
    <w:next w:val="61"/>
    <w:qFormat/>
    <w:uiPriority w:val="0"/>
    <w:pPr>
      <w:widowControl/>
      <w:numPr>
        <w:ilvl w:val="2"/>
      </w:numPr>
      <w:wordWrap w:val="0"/>
      <w:overflowPunct w:val="0"/>
      <w:autoSpaceDE w:val="0"/>
      <w:autoSpaceDN w:val="0"/>
      <w:textAlignment w:val="baseline"/>
      <w:outlineLvl w:val="3"/>
    </w:pPr>
  </w:style>
  <w:style w:type="paragraph" w:customStyle="1" w:styleId="85">
    <w:name w:val="标准文件_附录公式"/>
    <w:basedOn w:val="60"/>
    <w:next w:val="60"/>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6">
    <w:name w:val="标准文件_附录三级条标题"/>
    <w:next w:val="61"/>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7">
    <w:name w:val="标准文件_附录四级条标题"/>
    <w:next w:val="61"/>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8">
    <w:name w:val="标准文件_附录图标题"/>
    <w:next w:val="61"/>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9">
    <w:name w:val="标准文件_附录五级条标题"/>
    <w:next w:val="61"/>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90">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91">
    <w:name w:val="正文文本 字符"/>
    <w:link w:val="14"/>
    <w:qFormat/>
    <w:uiPriority w:val="0"/>
    <w:rPr>
      <w:rFonts w:ascii="Times New Roman" w:hAnsi="Times New Roman" w:eastAsia="宋体" w:cs="Times New Roman"/>
      <w:szCs w:val="20"/>
    </w:rPr>
  </w:style>
  <w:style w:type="paragraph" w:customStyle="1" w:styleId="92">
    <w:name w:val="标准文件_附录章标题"/>
    <w:next w:val="61"/>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3">
    <w:name w:val="标准文件_公式后的破折号"/>
    <w:basedOn w:val="61"/>
    <w:next w:val="61"/>
    <w:qFormat/>
    <w:uiPriority w:val="0"/>
    <w:pPr>
      <w:ind w:left="488" w:leftChars="200" w:hanging="289" w:hangingChars="290"/>
    </w:pPr>
  </w:style>
  <w:style w:type="paragraph" w:customStyle="1" w:styleId="94">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5">
    <w:name w:val="标准文件_目次、标准名称标题"/>
    <w:basedOn w:val="94"/>
    <w:next w:val="61"/>
    <w:qFormat/>
    <w:uiPriority w:val="0"/>
    <w:pPr>
      <w:spacing w:line="460" w:lineRule="exact"/>
    </w:pPr>
  </w:style>
  <w:style w:type="paragraph" w:customStyle="1" w:styleId="96">
    <w:name w:val="标准文件_目录标题"/>
    <w:basedOn w:val="1"/>
    <w:qFormat/>
    <w:uiPriority w:val="0"/>
    <w:pPr>
      <w:spacing w:after="150" w:afterLines="150" w:line="240" w:lineRule="auto"/>
      <w:jc w:val="center"/>
    </w:pPr>
    <w:rPr>
      <w:rFonts w:ascii="黑体" w:eastAsia="黑体"/>
      <w:sz w:val="32"/>
    </w:rPr>
  </w:style>
  <w:style w:type="paragraph" w:customStyle="1" w:styleId="97">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8">
    <w:name w:val="标准文件_破折号列项（二级）"/>
    <w:basedOn w:val="97"/>
    <w:qFormat/>
    <w:uiPriority w:val="0"/>
    <w:pPr>
      <w:numPr>
        <w:numId w:val="10"/>
      </w:numPr>
      <w:ind w:left="0" w:firstLine="200"/>
    </w:pPr>
  </w:style>
  <w:style w:type="paragraph" w:customStyle="1" w:styleId="99">
    <w:name w:val="标准文件_三级条标题"/>
    <w:basedOn w:val="70"/>
    <w:next w:val="61"/>
    <w:qFormat/>
    <w:uiPriority w:val="0"/>
    <w:pPr>
      <w:widowControl/>
      <w:numPr>
        <w:ilvl w:val="4"/>
      </w:numPr>
      <w:outlineLvl w:val="3"/>
    </w:pPr>
  </w:style>
  <w:style w:type="character" w:customStyle="1" w:styleId="100">
    <w:name w:val="不明显参考1"/>
    <w:qFormat/>
    <w:uiPriority w:val="31"/>
    <w:rPr>
      <w:smallCaps/>
      <w:color w:val="C0504D"/>
      <w:u w:val="single"/>
    </w:rPr>
  </w:style>
  <w:style w:type="paragraph" w:customStyle="1" w:styleId="101">
    <w:name w:val="标准文件_示例后续"/>
    <w:basedOn w:val="1"/>
    <w:qFormat/>
    <w:uiPriority w:val="0"/>
    <w:pPr>
      <w:adjustRightInd/>
      <w:spacing w:line="240" w:lineRule="auto"/>
      <w:ind w:firstLine="200" w:firstLineChars="200"/>
    </w:pPr>
    <w:rPr>
      <w:sz w:val="18"/>
      <w:szCs w:val="24"/>
    </w:rPr>
  </w:style>
  <w:style w:type="paragraph" w:customStyle="1" w:styleId="102">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3">
    <w:name w:val="标准文件_四级条标题"/>
    <w:next w:val="61"/>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4">
    <w:name w:val="脚注文本 字符"/>
    <w:link w:val="23"/>
    <w:semiHidden/>
    <w:qFormat/>
    <w:uiPriority w:val="0"/>
    <w:rPr>
      <w:rFonts w:ascii="宋体" w:hAnsi="Times New Roman" w:eastAsia="宋体" w:cs="Times New Roman"/>
      <w:sz w:val="18"/>
      <w:szCs w:val="18"/>
    </w:rPr>
  </w:style>
  <w:style w:type="paragraph" w:customStyle="1" w:styleId="105">
    <w:name w:val="标准文件_条文脚注"/>
    <w:basedOn w:val="23"/>
    <w:qFormat/>
    <w:uiPriority w:val="0"/>
    <w:pPr>
      <w:adjustRightInd w:val="0"/>
      <w:spacing w:line="240" w:lineRule="auto"/>
      <w:ind w:left="0" w:leftChars="0" w:firstLine="200" w:firstLineChars="200"/>
      <w:jc w:val="both"/>
    </w:pPr>
    <w:rPr>
      <w:rFonts w:hAnsi="宋体"/>
    </w:rPr>
  </w:style>
  <w:style w:type="paragraph" w:customStyle="1" w:styleId="106">
    <w:name w:val="标准文件_图表脚注"/>
    <w:basedOn w:val="1"/>
    <w:next w:val="61"/>
    <w:qFormat/>
    <w:uiPriority w:val="0"/>
    <w:pPr>
      <w:numPr>
        <w:ilvl w:val="0"/>
        <w:numId w:val="12"/>
      </w:numPr>
      <w:spacing w:line="240" w:lineRule="auto"/>
      <w:jc w:val="left"/>
    </w:pPr>
    <w:rPr>
      <w:rFonts w:ascii="宋体" w:hAnsi="宋体"/>
      <w:sz w:val="18"/>
    </w:rPr>
  </w:style>
  <w:style w:type="character" w:customStyle="1" w:styleId="107">
    <w:name w:val="标准文件_图表脚注内容"/>
    <w:qFormat/>
    <w:uiPriority w:val="0"/>
    <w:rPr>
      <w:rFonts w:ascii="宋体" w:hAnsi="宋体" w:eastAsia="宋体" w:cs="Times New Roman"/>
      <w:spacing w:val="0"/>
      <w:sz w:val="18"/>
      <w:vertAlign w:val="superscript"/>
    </w:rPr>
  </w:style>
  <w:style w:type="paragraph" w:customStyle="1" w:styleId="108">
    <w:name w:val="标准文件_五级条标题"/>
    <w:next w:val="61"/>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9">
    <w:name w:val="标准文件_章标题"/>
    <w:next w:val="61"/>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10">
    <w:name w:val="标准文件_一级条标题"/>
    <w:basedOn w:val="109"/>
    <w:next w:val="61"/>
    <w:qFormat/>
    <w:uiPriority w:val="0"/>
    <w:pPr>
      <w:numPr>
        <w:ilvl w:val="2"/>
      </w:numPr>
      <w:spacing w:before="50" w:beforeLines="50" w:after="50" w:afterLines="50"/>
      <w:outlineLvl w:val="1"/>
    </w:pPr>
  </w:style>
  <w:style w:type="paragraph" w:customStyle="1" w:styleId="111">
    <w:name w:val="标准文件_一致程度"/>
    <w:basedOn w:val="1"/>
    <w:qFormat/>
    <w:uiPriority w:val="0"/>
    <w:pPr>
      <w:spacing w:line="440" w:lineRule="exact"/>
      <w:jc w:val="center"/>
    </w:pPr>
    <w:rPr>
      <w:sz w:val="28"/>
    </w:rPr>
  </w:style>
  <w:style w:type="paragraph" w:customStyle="1" w:styleId="112">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3">
    <w:name w:val="标准文件_英文图表脚注"/>
    <w:basedOn w:val="60"/>
    <w:qFormat/>
    <w:uiPriority w:val="0"/>
    <w:pPr>
      <w:widowControl/>
      <w:adjustRightInd/>
      <w:snapToGrid/>
      <w:spacing w:line="240" w:lineRule="auto"/>
      <w:ind w:left="79" w:hanging="79" w:hangingChars="80"/>
    </w:pPr>
    <w:rPr>
      <w:rFonts w:ascii="宋体" w:hAnsi="宋体"/>
    </w:rPr>
  </w:style>
  <w:style w:type="paragraph" w:customStyle="1" w:styleId="114">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5">
    <w:name w:val="标准文件_英文注："/>
    <w:basedOn w:val="1"/>
    <w:next w:val="61"/>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6">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7">
    <w:name w:val="标准文件_正文表标题"/>
    <w:next w:val="61"/>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8">
    <w:name w:val="标准文件_正文公式"/>
    <w:basedOn w:val="1"/>
    <w:next w:val="60"/>
    <w:qFormat/>
    <w:uiPriority w:val="0"/>
    <w:pPr>
      <w:tabs>
        <w:tab w:val="center" w:pos="4678"/>
        <w:tab w:val="right" w:leader="middleDot" w:pos="9356"/>
      </w:tabs>
      <w:spacing w:line="240" w:lineRule="auto"/>
    </w:pPr>
    <w:rPr>
      <w:rFonts w:ascii="宋体" w:hAnsi="宋体"/>
    </w:rPr>
  </w:style>
  <w:style w:type="paragraph" w:customStyle="1" w:styleId="119">
    <w:name w:val="标准文件_正文图标题"/>
    <w:next w:val="61"/>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20">
    <w:name w:val="标准文件_正文英文表标题"/>
    <w:next w:val="61"/>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21">
    <w:name w:val="标准文件_正文英文图标题"/>
    <w:next w:val="61"/>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2">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3">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4">
    <w:name w:val="发布部门"/>
    <w:next w:val="61"/>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5">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6">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7">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9">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30">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1">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2">
    <w:name w:val="封面正文"/>
    <w:qFormat/>
    <w:uiPriority w:val="0"/>
    <w:pPr>
      <w:jc w:val="both"/>
    </w:pPr>
    <w:rPr>
      <w:rFonts w:ascii="Times New Roman" w:hAnsi="Times New Roman" w:eastAsia="宋体" w:cs="Times New Roman"/>
      <w:lang w:val="en-US" w:eastAsia="zh-CN" w:bidi="ar-SA"/>
    </w:rPr>
  </w:style>
  <w:style w:type="paragraph" w:customStyle="1" w:styleId="133">
    <w:name w:val="附录二级无标题条"/>
    <w:basedOn w:val="1"/>
    <w:next w:val="61"/>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4">
    <w:name w:val="附录三级无标题条"/>
    <w:basedOn w:val="133"/>
    <w:next w:val="61"/>
    <w:qFormat/>
    <w:uiPriority w:val="0"/>
    <w:pPr>
      <w:outlineLvl w:val="4"/>
    </w:pPr>
  </w:style>
  <w:style w:type="paragraph" w:customStyle="1" w:styleId="135">
    <w:name w:val="附录四级无标题条"/>
    <w:basedOn w:val="134"/>
    <w:next w:val="61"/>
    <w:qFormat/>
    <w:uiPriority w:val="0"/>
    <w:pPr>
      <w:outlineLvl w:val="5"/>
    </w:pPr>
  </w:style>
  <w:style w:type="paragraph" w:customStyle="1" w:styleId="136">
    <w:name w:val="附录图"/>
    <w:next w:val="61"/>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7">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8">
    <w:name w:val="附录五级无标题条"/>
    <w:basedOn w:val="135"/>
    <w:next w:val="61"/>
    <w:qFormat/>
    <w:uiPriority w:val="0"/>
    <w:pPr>
      <w:outlineLvl w:val="6"/>
    </w:pPr>
  </w:style>
  <w:style w:type="paragraph" w:customStyle="1" w:styleId="139">
    <w:name w:val="附录性质"/>
    <w:basedOn w:val="1"/>
    <w:qFormat/>
    <w:uiPriority w:val="0"/>
    <w:pPr>
      <w:widowControl/>
      <w:adjustRightInd/>
      <w:jc w:val="center"/>
    </w:pPr>
    <w:rPr>
      <w:rFonts w:ascii="黑体" w:eastAsia="黑体"/>
    </w:rPr>
  </w:style>
  <w:style w:type="paragraph" w:customStyle="1" w:styleId="140">
    <w:name w:val="附录一级无标题条"/>
    <w:basedOn w:val="92"/>
    <w:next w:val="61"/>
    <w:qFormat/>
    <w:uiPriority w:val="0"/>
    <w:pPr>
      <w:autoSpaceDN w:val="0"/>
      <w:outlineLvl w:val="2"/>
    </w:pPr>
    <w:rPr>
      <w:rFonts w:ascii="宋体" w:hAnsi="宋体" w:eastAsia="宋体"/>
    </w:rPr>
  </w:style>
  <w:style w:type="character" w:customStyle="1" w:styleId="141">
    <w:name w:val="个人答复风格"/>
    <w:qFormat/>
    <w:uiPriority w:val="0"/>
    <w:rPr>
      <w:rFonts w:ascii="Arial" w:hAnsi="Arial" w:eastAsia="宋体" w:cs="Arial"/>
      <w:color w:val="auto"/>
      <w:spacing w:val="0"/>
      <w:sz w:val="20"/>
    </w:rPr>
  </w:style>
  <w:style w:type="character" w:customStyle="1" w:styleId="142">
    <w:name w:val="个人撰写风格"/>
    <w:qFormat/>
    <w:uiPriority w:val="0"/>
    <w:rPr>
      <w:rFonts w:ascii="Arial" w:hAnsi="Arial" w:eastAsia="宋体" w:cs="Arial"/>
      <w:color w:val="auto"/>
      <w:spacing w:val="0"/>
      <w:sz w:val="20"/>
    </w:rPr>
  </w:style>
  <w:style w:type="paragraph" w:customStyle="1" w:styleId="143">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4">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5">
    <w:name w:val="列项·"/>
    <w:basedOn w:val="61"/>
    <w:qFormat/>
    <w:uiPriority w:val="0"/>
    <w:pPr>
      <w:tabs>
        <w:tab w:val="left" w:pos="840"/>
      </w:tabs>
    </w:pPr>
  </w:style>
  <w:style w:type="paragraph" w:customStyle="1" w:styleId="14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7">
    <w:name w:val="目录 21"/>
    <w:basedOn w:val="1"/>
    <w:next w:val="1"/>
    <w:semiHidden/>
    <w:qFormat/>
    <w:uiPriority w:val="0"/>
    <w:pPr>
      <w:adjustRightInd/>
      <w:spacing w:line="240" w:lineRule="auto"/>
      <w:jc w:val="left"/>
    </w:pPr>
    <w:rPr>
      <w:bCs/>
      <w:iCs/>
    </w:rPr>
  </w:style>
  <w:style w:type="paragraph" w:customStyle="1" w:styleId="148">
    <w:name w:val="目录 31"/>
    <w:basedOn w:val="1"/>
    <w:next w:val="1"/>
    <w:semiHidden/>
    <w:qFormat/>
    <w:uiPriority w:val="0"/>
    <w:pPr>
      <w:spacing w:line="240" w:lineRule="auto"/>
    </w:pPr>
    <w:rPr>
      <w:rFonts w:ascii="宋体" w:hAnsi="宋体"/>
      <w:iCs/>
    </w:rPr>
  </w:style>
  <w:style w:type="paragraph" w:customStyle="1" w:styleId="149">
    <w:name w:val="目录 41"/>
    <w:basedOn w:val="1"/>
    <w:next w:val="1"/>
    <w:semiHidden/>
    <w:qFormat/>
    <w:uiPriority w:val="0"/>
    <w:pPr>
      <w:adjustRightInd/>
      <w:spacing w:line="240" w:lineRule="auto"/>
      <w:jc w:val="left"/>
    </w:pPr>
  </w:style>
  <w:style w:type="paragraph" w:customStyle="1" w:styleId="150">
    <w:name w:val="目录 51"/>
    <w:basedOn w:val="1"/>
    <w:next w:val="1"/>
    <w:semiHidden/>
    <w:qFormat/>
    <w:uiPriority w:val="0"/>
    <w:pPr>
      <w:spacing w:line="240" w:lineRule="auto"/>
    </w:pPr>
    <w:rPr>
      <w:rFonts w:ascii="宋体" w:hAnsi="宋体"/>
    </w:rPr>
  </w:style>
  <w:style w:type="paragraph" w:customStyle="1" w:styleId="151">
    <w:name w:val="目录 61"/>
    <w:basedOn w:val="1"/>
    <w:next w:val="1"/>
    <w:semiHidden/>
    <w:qFormat/>
    <w:uiPriority w:val="0"/>
    <w:pPr>
      <w:adjustRightInd/>
      <w:spacing w:line="240" w:lineRule="auto"/>
      <w:jc w:val="left"/>
    </w:pPr>
  </w:style>
  <w:style w:type="paragraph" w:customStyle="1" w:styleId="152">
    <w:name w:val="目录 71"/>
    <w:basedOn w:val="151"/>
    <w:semiHidden/>
    <w:qFormat/>
    <w:uiPriority w:val="0"/>
    <w:pPr>
      <w:ind w:left="1260"/>
    </w:pPr>
  </w:style>
  <w:style w:type="paragraph" w:customStyle="1" w:styleId="153">
    <w:name w:val="目录 81"/>
    <w:basedOn w:val="152"/>
    <w:semiHidden/>
    <w:qFormat/>
    <w:uiPriority w:val="0"/>
    <w:pPr>
      <w:ind w:left="1470"/>
    </w:pPr>
  </w:style>
  <w:style w:type="paragraph" w:customStyle="1" w:styleId="154">
    <w:name w:val="目录 91"/>
    <w:basedOn w:val="153"/>
    <w:semiHidden/>
    <w:qFormat/>
    <w:uiPriority w:val="0"/>
    <w:pPr>
      <w:ind w:left="1680"/>
    </w:pPr>
  </w:style>
  <w:style w:type="paragraph" w:customStyle="1" w:styleId="155">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6">
    <w:name w:val="其他发布部门"/>
    <w:basedOn w:val="124"/>
    <w:qFormat/>
    <w:uiPriority w:val="0"/>
    <w:pPr>
      <w:framePr w:wrap="around"/>
      <w:spacing w:line="0" w:lineRule="atLeast"/>
    </w:pPr>
    <w:rPr>
      <w:rFonts w:ascii="黑体" w:eastAsia="黑体"/>
      <w:b w:val="0"/>
    </w:rPr>
  </w:style>
  <w:style w:type="paragraph" w:customStyle="1" w:styleId="157">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8">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9">
    <w:name w:val="实施日期"/>
    <w:basedOn w:val="125"/>
    <w:qFormat/>
    <w:uiPriority w:val="0"/>
    <w:pPr>
      <w:framePr w:hSpace="0" w:wrap="around" w:xAlign="right"/>
      <w:jc w:val="right"/>
    </w:pPr>
  </w:style>
  <w:style w:type="paragraph" w:customStyle="1" w:styleId="160">
    <w:name w:val="四级无标题条"/>
    <w:basedOn w:val="1"/>
    <w:qFormat/>
    <w:uiPriority w:val="0"/>
    <w:pPr>
      <w:numPr>
        <w:ilvl w:val="5"/>
        <w:numId w:val="20"/>
      </w:numPr>
      <w:adjustRightInd/>
      <w:spacing w:line="240" w:lineRule="auto"/>
    </w:pPr>
    <w:rPr>
      <w:rFonts w:ascii="宋体" w:hAnsi="宋体"/>
      <w:szCs w:val="24"/>
    </w:rPr>
  </w:style>
  <w:style w:type="paragraph" w:customStyle="1" w:styleId="161">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2">
    <w:name w:val="无标题条"/>
    <w:next w:val="61"/>
    <w:qFormat/>
    <w:uiPriority w:val="0"/>
    <w:pPr>
      <w:jc w:val="both"/>
    </w:pPr>
    <w:rPr>
      <w:rFonts w:ascii="宋体" w:hAnsi="宋体" w:eastAsia="宋体" w:cs="Times New Roman"/>
      <w:sz w:val="21"/>
      <w:lang w:val="en-US" w:eastAsia="zh-CN" w:bidi="ar-SA"/>
    </w:rPr>
  </w:style>
  <w:style w:type="paragraph" w:customStyle="1" w:styleId="163">
    <w:name w:val="五级无标题条"/>
    <w:basedOn w:val="1"/>
    <w:qFormat/>
    <w:uiPriority w:val="0"/>
    <w:pPr>
      <w:numPr>
        <w:ilvl w:val="6"/>
        <w:numId w:val="20"/>
      </w:numPr>
      <w:adjustRightInd/>
    </w:pPr>
    <w:rPr>
      <w:szCs w:val="24"/>
    </w:rPr>
  </w:style>
  <w:style w:type="paragraph" w:customStyle="1" w:styleId="164">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5">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6">
    <w:name w:val="注×:后续"/>
    <w:basedOn w:val="165"/>
    <w:qFormat/>
    <w:uiPriority w:val="0"/>
    <w:pPr>
      <w:ind w:left="1406" w:leftChars="0" w:hanging="499" w:firstLineChars="0"/>
    </w:pPr>
  </w:style>
  <w:style w:type="paragraph" w:customStyle="1" w:styleId="167">
    <w:name w:val="标准文件_一级无标题"/>
    <w:basedOn w:val="110"/>
    <w:qFormat/>
    <w:uiPriority w:val="0"/>
    <w:pPr>
      <w:spacing w:before="0" w:beforeLines="0" w:after="0" w:afterLines="0"/>
      <w:outlineLvl w:val="9"/>
    </w:pPr>
    <w:rPr>
      <w:rFonts w:ascii="宋体" w:eastAsia="宋体"/>
    </w:rPr>
  </w:style>
  <w:style w:type="paragraph" w:customStyle="1" w:styleId="168">
    <w:name w:val="标准文件_五级无标题"/>
    <w:basedOn w:val="108"/>
    <w:qFormat/>
    <w:uiPriority w:val="0"/>
    <w:pPr>
      <w:spacing w:before="0" w:beforeLines="0" w:after="0" w:afterLines="0"/>
      <w:outlineLvl w:val="9"/>
    </w:pPr>
    <w:rPr>
      <w:rFonts w:ascii="宋体" w:eastAsia="宋体"/>
    </w:rPr>
  </w:style>
  <w:style w:type="paragraph" w:customStyle="1" w:styleId="169">
    <w:name w:val="标准文件_三级无标题"/>
    <w:basedOn w:val="99"/>
    <w:qFormat/>
    <w:uiPriority w:val="0"/>
    <w:pPr>
      <w:spacing w:before="0" w:beforeLines="0" w:after="0" w:afterLines="0"/>
      <w:outlineLvl w:val="9"/>
    </w:pPr>
    <w:rPr>
      <w:rFonts w:ascii="宋体" w:eastAsia="宋体"/>
    </w:rPr>
  </w:style>
  <w:style w:type="paragraph" w:customStyle="1" w:styleId="170">
    <w:name w:val="标准文件_二级无标题"/>
    <w:basedOn w:val="70"/>
    <w:qFormat/>
    <w:uiPriority w:val="0"/>
    <w:pPr>
      <w:spacing w:before="0" w:beforeLines="0" w:after="0" w:afterLines="0"/>
      <w:outlineLvl w:val="9"/>
    </w:pPr>
    <w:rPr>
      <w:rFonts w:ascii="宋体" w:eastAsia="宋体"/>
    </w:rPr>
  </w:style>
  <w:style w:type="paragraph" w:customStyle="1" w:styleId="171">
    <w:name w:val="标准_四级无标题"/>
    <w:basedOn w:val="103"/>
    <w:next w:val="61"/>
    <w:qFormat/>
    <w:uiPriority w:val="0"/>
    <w:rPr>
      <w:rFonts w:eastAsia="宋体"/>
    </w:rPr>
  </w:style>
  <w:style w:type="paragraph" w:customStyle="1" w:styleId="172">
    <w:name w:val="标准文件_四级无标题"/>
    <w:basedOn w:val="103"/>
    <w:qFormat/>
    <w:uiPriority w:val="0"/>
    <w:pPr>
      <w:spacing w:before="0" w:beforeLines="0" w:after="0" w:afterLines="0"/>
      <w:outlineLvl w:val="9"/>
    </w:pPr>
    <w:rPr>
      <w:rFonts w:ascii="宋体" w:hAnsi="黑体" w:eastAsia="宋体"/>
      <w:szCs w:val="52"/>
    </w:rPr>
  </w:style>
  <w:style w:type="paragraph" w:customStyle="1" w:styleId="173">
    <w:name w:val="标准文件_大写罗马数字编号列项"/>
    <w:basedOn w:val="61"/>
    <w:qFormat/>
    <w:uiPriority w:val="0"/>
    <w:pPr>
      <w:numPr>
        <w:ilvl w:val="0"/>
        <w:numId w:val="23"/>
      </w:numPr>
      <w:ind w:firstLine="0" w:firstLineChars="0"/>
    </w:pPr>
    <w:rPr>
      <w:rFonts w:ascii="Times New Roman" w:cs="Arial"/>
      <w:szCs w:val="28"/>
    </w:rPr>
  </w:style>
  <w:style w:type="paragraph" w:customStyle="1" w:styleId="174">
    <w:name w:val="标准文件_小写罗马数字编号列项"/>
    <w:basedOn w:val="61"/>
    <w:qFormat/>
    <w:uiPriority w:val="0"/>
    <w:pPr>
      <w:numPr>
        <w:ilvl w:val="0"/>
        <w:numId w:val="24"/>
      </w:numPr>
      <w:ind w:firstLine="0" w:firstLineChars="0"/>
    </w:pPr>
    <w:rPr>
      <w:rFonts w:cs="Arial"/>
      <w:szCs w:val="28"/>
    </w:rPr>
  </w:style>
  <w:style w:type="paragraph" w:customStyle="1" w:styleId="175">
    <w:name w:val="标准文件_附录标题"/>
    <w:basedOn w:val="81"/>
    <w:qFormat/>
    <w:uiPriority w:val="0"/>
    <w:pPr>
      <w:numPr>
        <w:numId w:val="0"/>
      </w:numPr>
      <w:spacing w:after="280"/>
      <w:outlineLvl w:val="9"/>
    </w:pPr>
  </w:style>
  <w:style w:type="paragraph" w:customStyle="1" w:styleId="176">
    <w:name w:val="标准文件_二级项"/>
    <w:qFormat/>
    <w:uiPriority w:val="0"/>
    <w:rPr>
      <w:rFonts w:ascii="宋体" w:hAnsi="Times New Roman" w:eastAsia="宋体" w:cs="Times New Roman"/>
      <w:sz w:val="21"/>
      <w:lang w:val="en-US" w:eastAsia="zh-CN" w:bidi="ar-SA"/>
    </w:rPr>
  </w:style>
  <w:style w:type="paragraph" w:customStyle="1" w:styleId="177">
    <w:name w:val="标准文件_三级项"/>
    <w:basedOn w:val="1"/>
    <w:qFormat/>
    <w:uiPriority w:val="0"/>
    <w:pPr>
      <w:numPr>
        <w:ilvl w:val="2"/>
        <w:numId w:val="21"/>
      </w:numPr>
      <w:spacing w:line="536870612" w:lineRule="auto"/>
    </w:pPr>
    <w:rPr>
      <w:rFonts w:ascii="Times New Roman" w:hAnsi="Times New Roman"/>
    </w:rPr>
  </w:style>
  <w:style w:type="paragraph" w:customStyle="1" w:styleId="178">
    <w:name w:val="图表脚注说明"/>
    <w:basedOn w:val="1"/>
    <w:next w:val="61"/>
    <w:qFormat/>
    <w:uiPriority w:val="0"/>
    <w:pPr>
      <w:numPr>
        <w:ilvl w:val="0"/>
        <w:numId w:val="25"/>
      </w:numPr>
      <w:adjustRightInd/>
      <w:spacing w:line="240" w:lineRule="auto"/>
      <w:ind w:left="783"/>
    </w:pPr>
    <w:rPr>
      <w:rFonts w:ascii="宋体" w:hAnsi="Times New Roman"/>
      <w:sz w:val="18"/>
      <w:szCs w:val="18"/>
    </w:rPr>
  </w:style>
  <w:style w:type="paragraph" w:customStyle="1" w:styleId="179">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80">
    <w:name w:val="标准文件_索引字母"/>
    <w:next w:val="61"/>
    <w:qFormat/>
    <w:uiPriority w:val="0"/>
    <w:pPr>
      <w:jc w:val="center"/>
    </w:pPr>
    <w:rPr>
      <w:rFonts w:ascii="宋体" w:hAnsi="宋体" w:eastAsia="Times New Roman" w:cs="Times New Roman"/>
      <w:b/>
      <w:kern w:val="2"/>
      <w:sz w:val="21"/>
      <w:lang w:val="en-US" w:eastAsia="zh-CN" w:bidi="ar-SA"/>
    </w:rPr>
  </w:style>
  <w:style w:type="paragraph" w:customStyle="1" w:styleId="181">
    <w:name w:val="标准文件_附录前"/>
    <w:next w:val="61"/>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2">
    <w:name w:val="标准文件_正文标准名称"/>
    <w:qFormat/>
    <w:uiPriority w:val="0"/>
    <w:pPr>
      <w:spacing w:after="640" w:line="400" w:lineRule="exact"/>
      <w:jc w:val="center"/>
    </w:pPr>
    <w:rPr>
      <w:rFonts w:ascii="黑体" w:hAnsi="黑体" w:eastAsia="黑体" w:cs="Times New Roman"/>
      <w:kern w:val="2"/>
      <w:sz w:val="32"/>
      <w:szCs w:val="32"/>
      <w:lang w:val="en-US" w:eastAsia="zh-CN" w:bidi="ar-SA"/>
    </w:rPr>
  </w:style>
  <w:style w:type="paragraph" w:customStyle="1" w:styleId="183">
    <w:name w:val="标准文件_表格"/>
    <w:basedOn w:val="61"/>
    <w:qFormat/>
    <w:uiPriority w:val="0"/>
    <w:pPr>
      <w:ind w:firstLine="0" w:firstLineChars="0"/>
      <w:jc w:val="center"/>
    </w:pPr>
    <w:rPr>
      <w:sz w:val="18"/>
    </w:rPr>
  </w:style>
  <w:style w:type="paragraph" w:customStyle="1" w:styleId="184">
    <w:name w:val="标准文件_注："/>
    <w:next w:val="61"/>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5">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6">
    <w:name w:val="标准文件_示例："/>
    <w:next w:val="187"/>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7">
    <w:name w:val="标准文件_示例内容"/>
    <w:basedOn w:val="61"/>
    <w:qFormat/>
    <w:uiPriority w:val="0"/>
    <w:pPr>
      <w:ind w:firstLine="420"/>
    </w:pPr>
    <w:rPr>
      <w:sz w:val="18"/>
    </w:rPr>
  </w:style>
  <w:style w:type="paragraph" w:customStyle="1" w:styleId="188">
    <w:name w:val="标准文件_示例×："/>
    <w:basedOn w:val="1"/>
    <w:next w:val="187"/>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9">
    <w:name w:val="标准文件_段 Char"/>
    <w:link w:val="61"/>
    <w:qFormat/>
    <w:uiPriority w:val="0"/>
    <w:rPr>
      <w:rFonts w:ascii="宋体" w:hAnsi="Times New Roman"/>
      <w:sz w:val="21"/>
    </w:rPr>
  </w:style>
  <w:style w:type="paragraph" w:customStyle="1" w:styleId="190">
    <w:name w:val="标准文件_表格续"/>
    <w:basedOn w:val="61"/>
    <w:next w:val="61"/>
    <w:qFormat/>
    <w:uiPriority w:val="0"/>
    <w:pPr>
      <w:jc w:val="center"/>
    </w:pPr>
    <w:rPr>
      <w:rFonts w:ascii="黑体" w:hAnsi="黑体" w:eastAsia="黑体"/>
    </w:rPr>
  </w:style>
  <w:style w:type="character" w:styleId="191">
    <w:name w:val="Placeholder Text"/>
    <w:basedOn w:val="32"/>
    <w:semiHidden/>
    <w:qFormat/>
    <w:uiPriority w:val="99"/>
    <w:rPr>
      <w:color w:val="808080"/>
    </w:rPr>
  </w:style>
  <w:style w:type="paragraph" w:customStyle="1" w:styleId="192">
    <w:name w:val="标准文件_二级项2"/>
    <w:basedOn w:val="61"/>
    <w:qFormat/>
    <w:uiPriority w:val="0"/>
    <w:pPr>
      <w:numPr>
        <w:ilvl w:val="1"/>
        <w:numId w:val="21"/>
      </w:numPr>
      <w:ind w:left="1271" w:hanging="420" w:firstLineChars="0"/>
    </w:pPr>
  </w:style>
  <w:style w:type="paragraph" w:customStyle="1" w:styleId="193">
    <w:name w:val="标准文件_三级项2"/>
    <w:basedOn w:val="61"/>
    <w:qFormat/>
    <w:uiPriority w:val="0"/>
    <w:pPr>
      <w:numPr>
        <w:ilvl w:val="0"/>
        <w:numId w:val="30"/>
      </w:numPr>
      <w:spacing w:line="300" w:lineRule="exact"/>
      <w:ind w:left="1276" w:hanging="425" w:firstLineChars="0"/>
    </w:pPr>
    <w:rPr>
      <w:rFonts w:ascii="Times New Roman"/>
    </w:rPr>
  </w:style>
  <w:style w:type="paragraph" w:customStyle="1" w:styleId="194">
    <w:name w:val="标准文件_一级项2"/>
    <w:basedOn w:val="61"/>
    <w:qFormat/>
    <w:uiPriority w:val="0"/>
    <w:pPr>
      <w:numPr>
        <w:ilvl w:val="0"/>
        <w:numId w:val="31"/>
      </w:numPr>
      <w:spacing w:line="300" w:lineRule="exact"/>
      <w:ind w:left="1271" w:hanging="420" w:firstLineChars="0"/>
    </w:pPr>
    <w:rPr>
      <w:rFonts w:ascii="Times New Roman"/>
    </w:rPr>
  </w:style>
  <w:style w:type="paragraph" w:customStyle="1" w:styleId="195">
    <w:name w:val="标准文件_提示"/>
    <w:basedOn w:val="61"/>
    <w:next w:val="61"/>
    <w:qFormat/>
    <w:uiPriority w:val="0"/>
    <w:pPr>
      <w:ind w:firstLine="420"/>
    </w:pPr>
    <w:rPr>
      <w:rFonts w:ascii="黑体" w:eastAsia="黑体"/>
    </w:rPr>
  </w:style>
  <w:style w:type="character" w:customStyle="1" w:styleId="196">
    <w:name w:val="标准文件_来源"/>
    <w:basedOn w:val="32"/>
    <w:qFormat/>
    <w:uiPriority w:val="1"/>
    <w:rPr>
      <w:rFonts w:eastAsia="宋体"/>
      <w:sz w:val="21"/>
    </w:rPr>
  </w:style>
  <w:style w:type="paragraph" w:customStyle="1" w:styleId="197">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8">
    <w:name w:val="其他发布日期"/>
    <w:basedOn w:val="125"/>
    <w:qFormat/>
    <w:uiPriority w:val="0"/>
    <w:pPr>
      <w:framePr w:w="3997" w:h="471" w:hRule="exact" w:hSpace="0" w:vSpace="181" w:wrap="around" w:vAnchor="page" w:hAnchor="page" w:x="1419" w:y="14097"/>
    </w:pPr>
  </w:style>
  <w:style w:type="paragraph" w:customStyle="1" w:styleId="199">
    <w:name w:val="其他实施日期"/>
    <w:basedOn w:val="159"/>
    <w:qFormat/>
    <w:uiPriority w:val="0"/>
    <w:pPr>
      <w:framePr w:w="3997" w:h="471" w:hRule="exact" w:vSpace="181" w:wrap="around" w:vAnchor="page" w:hAnchor="page" w:x="7089" w:y="14097"/>
    </w:pPr>
  </w:style>
  <w:style w:type="paragraph" w:customStyle="1" w:styleId="200">
    <w:name w:val="标准文件_文件编号"/>
    <w:basedOn w:val="61"/>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201">
    <w:name w:val="标准文件_替换文件编号"/>
    <w:basedOn w:val="200"/>
    <w:qFormat/>
    <w:uiPriority w:val="0"/>
    <w:pPr>
      <w:framePr/>
      <w:spacing w:before="57"/>
    </w:pPr>
    <w:rPr>
      <w:sz w:val="21"/>
    </w:rPr>
  </w:style>
  <w:style w:type="paragraph" w:customStyle="1" w:styleId="202">
    <w:name w:val="标准文件_文件名称"/>
    <w:basedOn w:val="61"/>
    <w:next w:val="61"/>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3">
    <w:name w:val="标准文件_附录图标号"/>
    <w:basedOn w:val="61"/>
    <w:next w:val="61"/>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4">
    <w:name w:val="标准文件_附录表标号"/>
    <w:basedOn w:val="61"/>
    <w:next w:val="61"/>
    <w:qFormat/>
    <w:uiPriority w:val="0"/>
    <w:pPr>
      <w:numPr>
        <w:ilvl w:val="0"/>
        <w:numId w:val="5"/>
      </w:numPr>
      <w:spacing w:line="14" w:lineRule="exact"/>
      <w:ind w:firstLine="0" w:firstLineChars="0"/>
      <w:jc w:val="center"/>
    </w:pPr>
    <w:rPr>
      <w:rFonts w:eastAsia="黑体"/>
      <w:vanish/>
      <w:sz w:val="2"/>
    </w:rPr>
  </w:style>
  <w:style w:type="paragraph" w:customStyle="1" w:styleId="205">
    <w:name w:val="标准文件_引言一级条标题"/>
    <w:basedOn w:val="61"/>
    <w:next w:val="61"/>
    <w:qFormat/>
    <w:uiPriority w:val="0"/>
    <w:pPr>
      <w:numPr>
        <w:ilvl w:val="1"/>
        <w:numId w:val="8"/>
      </w:numPr>
      <w:spacing w:before="50" w:beforeLines="50" w:after="50" w:afterLines="50"/>
      <w:ind w:firstLineChars="0"/>
    </w:pPr>
    <w:rPr>
      <w:rFonts w:ascii="黑体" w:eastAsia="黑体"/>
    </w:rPr>
  </w:style>
  <w:style w:type="paragraph" w:customStyle="1" w:styleId="206">
    <w:name w:val="标准文件_引言二级条标题"/>
    <w:basedOn w:val="61"/>
    <w:next w:val="61"/>
    <w:qFormat/>
    <w:uiPriority w:val="0"/>
    <w:pPr>
      <w:numPr>
        <w:ilvl w:val="2"/>
        <w:numId w:val="8"/>
      </w:numPr>
      <w:spacing w:before="50" w:beforeLines="50" w:after="50" w:afterLines="50"/>
      <w:ind w:firstLineChars="0"/>
    </w:pPr>
    <w:rPr>
      <w:rFonts w:ascii="黑体" w:eastAsia="黑体"/>
    </w:rPr>
  </w:style>
  <w:style w:type="paragraph" w:customStyle="1" w:styleId="207">
    <w:name w:val="标准文件_引言三级条标题"/>
    <w:basedOn w:val="61"/>
    <w:next w:val="61"/>
    <w:qFormat/>
    <w:uiPriority w:val="0"/>
    <w:pPr>
      <w:numPr>
        <w:ilvl w:val="3"/>
        <w:numId w:val="8"/>
      </w:numPr>
      <w:spacing w:before="50" w:beforeLines="50" w:after="50" w:afterLines="50"/>
      <w:ind w:firstLineChars="0"/>
    </w:pPr>
    <w:rPr>
      <w:rFonts w:ascii="黑体" w:eastAsia="黑体"/>
    </w:rPr>
  </w:style>
  <w:style w:type="paragraph" w:customStyle="1" w:styleId="208">
    <w:name w:val="标准文件_引言四级条标题"/>
    <w:basedOn w:val="61"/>
    <w:next w:val="61"/>
    <w:qFormat/>
    <w:uiPriority w:val="0"/>
    <w:pPr>
      <w:numPr>
        <w:ilvl w:val="4"/>
        <w:numId w:val="8"/>
      </w:numPr>
      <w:spacing w:before="50" w:beforeLines="50" w:after="50" w:afterLines="50"/>
      <w:ind w:firstLineChars="0"/>
    </w:pPr>
    <w:rPr>
      <w:rFonts w:ascii="黑体" w:eastAsia="黑体"/>
    </w:rPr>
  </w:style>
  <w:style w:type="paragraph" w:customStyle="1" w:styleId="209">
    <w:name w:val="标准文件_引言五级条标题"/>
    <w:basedOn w:val="61"/>
    <w:next w:val="61"/>
    <w:qFormat/>
    <w:uiPriority w:val="0"/>
    <w:pPr>
      <w:numPr>
        <w:ilvl w:val="5"/>
        <w:numId w:val="8"/>
      </w:numPr>
      <w:spacing w:before="50" w:beforeLines="50" w:after="50" w:afterLines="50"/>
      <w:ind w:firstLineChars="0"/>
    </w:pPr>
    <w:rPr>
      <w:rFonts w:ascii="黑体" w:eastAsia="黑体"/>
    </w:rPr>
  </w:style>
  <w:style w:type="paragraph" w:customStyle="1" w:styleId="210">
    <w:name w:val="标准文件_注后"/>
    <w:basedOn w:val="61"/>
    <w:qFormat/>
    <w:uiPriority w:val="0"/>
    <w:pPr>
      <w:ind w:left="811" w:firstLine="0" w:firstLineChars="0"/>
    </w:pPr>
    <w:rPr>
      <w:sz w:val="18"/>
    </w:rPr>
  </w:style>
  <w:style w:type="paragraph" w:customStyle="1" w:styleId="211">
    <w:name w:val="标准文件_注X后"/>
    <w:basedOn w:val="61"/>
    <w:qFormat/>
    <w:uiPriority w:val="0"/>
    <w:pPr>
      <w:ind w:left="811" w:firstLine="0" w:firstLineChars="0"/>
    </w:pPr>
    <w:rPr>
      <w:sz w:val="18"/>
    </w:rPr>
  </w:style>
  <w:style w:type="paragraph" w:customStyle="1" w:styleId="212">
    <w:name w:val="标准文件_示例后"/>
    <w:basedOn w:val="61"/>
    <w:qFormat/>
    <w:uiPriority w:val="0"/>
    <w:pPr>
      <w:ind w:left="964" w:firstLine="0" w:firstLineChars="0"/>
    </w:pPr>
    <w:rPr>
      <w:sz w:val="18"/>
    </w:rPr>
  </w:style>
  <w:style w:type="paragraph" w:customStyle="1" w:styleId="213">
    <w:name w:val="标准文件_示例X后"/>
    <w:basedOn w:val="61"/>
    <w:link w:val="214"/>
    <w:qFormat/>
    <w:uiPriority w:val="0"/>
    <w:pPr>
      <w:ind w:left="1049" w:firstLine="0" w:firstLineChars="0"/>
    </w:pPr>
    <w:rPr>
      <w:sz w:val="18"/>
    </w:rPr>
  </w:style>
  <w:style w:type="character" w:customStyle="1" w:styleId="214">
    <w:name w:val="标准文件_示例X后 字符"/>
    <w:basedOn w:val="189"/>
    <w:link w:val="213"/>
    <w:qFormat/>
    <w:uiPriority w:val="0"/>
    <w:rPr>
      <w:rFonts w:ascii="宋体" w:hAnsi="Times New Roman"/>
      <w:sz w:val="18"/>
    </w:rPr>
  </w:style>
  <w:style w:type="paragraph" w:customStyle="1" w:styleId="215">
    <w:name w:val="标准文件_索引项"/>
    <w:basedOn w:val="61"/>
    <w:next w:val="61"/>
    <w:qFormat/>
    <w:uiPriority w:val="0"/>
    <w:pPr>
      <w:tabs>
        <w:tab w:val="right" w:leader="dot" w:pos="9356"/>
      </w:tabs>
      <w:ind w:left="210" w:hanging="210" w:firstLineChars="0"/>
      <w:jc w:val="left"/>
    </w:pPr>
  </w:style>
  <w:style w:type="paragraph" w:customStyle="1" w:styleId="216">
    <w:name w:val="标准文件_附录一级无标题"/>
    <w:basedOn w:val="83"/>
    <w:qFormat/>
    <w:uiPriority w:val="0"/>
    <w:pPr>
      <w:spacing w:before="0" w:beforeLines="0" w:after="0" w:afterLines="0" w:line="276" w:lineRule="auto"/>
      <w:outlineLvl w:val="9"/>
    </w:pPr>
    <w:rPr>
      <w:rFonts w:ascii="宋体" w:eastAsia="宋体"/>
    </w:rPr>
  </w:style>
  <w:style w:type="paragraph" w:customStyle="1" w:styleId="217">
    <w:name w:val="标准文件_附录二级无标题"/>
    <w:basedOn w:val="84"/>
    <w:qFormat/>
    <w:uiPriority w:val="0"/>
    <w:pPr>
      <w:spacing w:before="0" w:beforeLines="0" w:after="0" w:afterLines="0" w:line="276" w:lineRule="auto"/>
      <w:outlineLvl w:val="9"/>
    </w:pPr>
    <w:rPr>
      <w:rFonts w:ascii="宋体" w:eastAsia="宋体"/>
    </w:rPr>
  </w:style>
  <w:style w:type="paragraph" w:customStyle="1" w:styleId="218">
    <w:name w:val="标准文件_附录三级无标题"/>
    <w:basedOn w:val="86"/>
    <w:qFormat/>
    <w:uiPriority w:val="0"/>
    <w:pPr>
      <w:spacing w:before="0" w:beforeLines="0" w:after="0" w:afterLines="0" w:line="276" w:lineRule="auto"/>
      <w:outlineLvl w:val="9"/>
    </w:pPr>
    <w:rPr>
      <w:rFonts w:ascii="宋体" w:eastAsia="宋体"/>
    </w:rPr>
  </w:style>
  <w:style w:type="paragraph" w:customStyle="1" w:styleId="219">
    <w:name w:val="标准文件_附录四级无标题"/>
    <w:basedOn w:val="87"/>
    <w:qFormat/>
    <w:uiPriority w:val="0"/>
    <w:pPr>
      <w:spacing w:before="0" w:beforeLines="0" w:after="0" w:afterLines="0" w:line="276" w:lineRule="auto"/>
      <w:outlineLvl w:val="9"/>
    </w:pPr>
    <w:rPr>
      <w:rFonts w:ascii="宋体" w:eastAsia="宋体"/>
    </w:rPr>
  </w:style>
  <w:style w:type="paragraph" w:customStyle="1" w:styleId="220">
    <w:name w:val="标准文件_附录五级无标题"/>
    <w:basedOn w:val="89"/>
    <w:qFormat/>
    <w:uiPriority w:val="0"/>
    <w:pPr>
      <w:spacing w:before="0" w:beforeLines="0" w:after="0" w:afterLines="0" w:line="276" w:lineRule="auto"/>
      <w:outlineLvl w:val="9"/>
    </w:pPr>
    <w:rPr>
      <w:rFonts w:ascii="宋体" w:eastAsia="宋体"/>
    </w:rPr>
  </w:style>
  <w:style w:type="paragraph" w:customStyle="1" w:styleId="221">
    <w:name w:val="标准文件_引言一级无标题"/>
    <w:basedOn w:val="205"/>
    <w:next w:val="61"/>
    <w:qFormat/>
    <w:uiPriority w:val="0"/>
    <w:pPr>
      <w:spacing w:before="0" w:beforeLines="0" w:after="0" w:afterLines="0" w:line="276" w:lineRule="auto"/>
    </w:pPr>
    <w:rPr>
      <w:rFonts w:ascii="宋体" w:eastAsia="宋体"/>
    </w:rPr>
  </w:style>
  <w:style w:type="paragraph" w:customStyle="1" w:styleId="222">
    <w:name w:val="标准文件_引言二级无标题"/>
    <w:basedOn w:val="206"/>
    <w:next w:val="61"/>
    <w:qFormat/>
    <w:uiPriority w:val="0"/>
    <w:pPr>
      <w:spacing w:before="0" w:beforeLines="0" w:after="0" w:afterLines="0" w:line="276" w:lineRule="auto"/>
    </w:pPr>
    <w:rPr>
      <w:rFonts w:ascii="宋体" w:eastAsia="宋体"/>
    </w:rPr>
  </w:style>
  <w:style w:type="paragraph" w:customStyle="1" w:styleId="223">
    <w:name w:val="标准文件_引言三级无标题"/>
    <w:basedOn w:val="207"/>
    <w:qFormat/>
    <w:uiPriority w:val="0"/>
    <w:pPr>
      <w:spacing w:before="0" w:beforeLines="0" w:after="0" w:afterLines="0" w:line="276" w:lineRule="auto"/>
    </w:pPr>
    <w:rPr>
      <w:rFonts w:ascii="宋体" w:eastAsia="宋体"/>
    </w:rPr>
  </w:style>
  <w:style w:type="paragraph" w:customStyle="1" w:styleId="224">
    <w:name w:val="标准文件_引言四级无标题"/>
    <w:basedOn w:val="208"/>
    <w:next w:val="61"/>
    <w:qFormat/>
    <w:uiPriority w:val="0"/>
    <w:pPr>
      <w:spacing w:before="0" w:beforeLines="0" w:after="0" w:afterLines="0" w:line="276" w:lineRule="auto"/>
    </w:pPr>
    <w:rPr>
      <w:rFonts w:ascii="宋体" w:eastAsia="宋体"/>
    </w:rPr>
  </w:style>
  <w:style w:type="paragraph" w:customStyle="1" w:styleId="225">
    <w:name w:val="标准文件_引言五级无标题"/>
    <w:basedOn w:val="209"/>
    <w:next w:val="61"/>
    <w:qFormat/>
    <w:uiPriority w:val="0"/>
    <w:pPr>
      <w:spacing w:before="0" w:beforeLines="0" w:after="0" w:afterLines="0" w:line="276" w:lineRule="auto"/>
    </w:pPr>
    <w:rPr>
      <w:rFonts w:ascii="宋体" w:eastAsia="宋体"/>
    </w:rPr>
  </w:style>
  <w:style w:type="paragraph" w:customStyle="1" w:styleId="226">
    <w:name w:val="标准文件_索引标题"/>
    <w:basedOn w:val="68"/>
    <w:next w:val="61"/>
    <w:qFormat/>
    <w:uiPriority w:val="0"/>
    <w:rPr>
      <w:rFonts w:hAnsi="黑体"/>
    </w:rPr>
  </w:style>
  <w:style w:type="paragraph" w:customStyle="1" w:styleId="227">
    <w:name w:val="标准文件_脚注内容"/>
    <w:basedOn w:val="61"/>
    <w:qFormat/>
    <w:uiPriority w:val="0"/>
    <w:pPr>
      <w:ind w:left="400" w:leftChars="200" w:hanging="200" w:hangingChars="200"/>
    </w:pPr>
    <w:rPr>
      <w:sz w:val="15"/>
    </w:rPr>
  </w:style>
  <w:style w:type="paragraph" w:customStyle="1" w:styleId="228">
    <w:name w:val="标准文件_术语条一"/>
    <w:basedOn w:val="167"/>
    <w:next w:val="61"/>
    <w:qFormat/>
    <w:uiPriority w:val="0"/>
  </w:style>
  <w:style w:type="paragraph" w:customStyle="1" w:styleId="229">
    <w:name w:val="标准文件_术语条二"/>
    <w:basedOn w:val="170"/>
    <w:next w:val="61"/>
    <w:qFormat/>
    <w:uiPriority w:val="0"/>
  </w:style>
  <w:style w:type="paragraph" w:customStyle="1" w:styleId="230">
    <w:name w:val="标准文件_术语条三"/>
    <w:basedOn w:val="169"/>
    <w:next w:val="61"/>
    <w:qFormat/>
    <w:uiPriority w:val="0"/>
  </w:style>
  <w:style w:type="paragraph" w:customStyle="1" w:styleId="231">
    <w:name w:val="标准文件_术语条四"/>
    <w:basedOn w:val="172"/>
    <w:next w:val="61"/>
    <w:qFormat/>
    <w:uiPriority w:val="0"/>
  </w:style>
  <w:style w:type="paragraph" w:customStyle="1" w:styleId="232">
    <w:name w:val="标准文件_术语条五"/>
    <w:basedOn w:val="168"/>
    <w:next w:val="61"/>
    <w:qFormat/>
    <w:uiPriority w:val="0"/>
  </w:style>
  <w:style w:type="paragraph" w:customStyle="1" w:styleId="23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4">
    <w:name w:val="批注文字 字符"/>
    <w:basedOn w:val="32"/>
    <w:link w:val="13"/>
    <w:qFormat/>
    <w:uiPriority w:val="99"/>
    <w:rPr>
      <w:rFonts w:ascii="Calibri" w:hAnsi="Calibri"/>
      <w:kern w:val="2"/>
      <w:sz w:val="21"/>
      <w:szCs w:val="21"/>
    </w:rPr>
  </w:style>
  <w:style w:type="character" w:customStyle="1" w:styleId="235">
    <w:name w:val="批注主题 字符"/>
    <w:basedOn w:val="234"/>
    <w:link w:val="29"/>
    <w:semiHidden/>
    <w:qFormat/>
    <w:uiPriority w:val="99"/>
    <w:rPr>
      <w:rFonts w:ascii="Calibri" w:hAnsi="Calibri"/>
      <w:b/>
      <w:bCs/>
      <w:kern w:val="2"/>
      <w:sz w:val="21"/>
      <w:szCs w:val="21"/>
    </w:rPr>
  </w:style>
  <w:style w:type="paragraph" w:customStyle="1" w:styleId="236">
    <w:name w:val="修订1"/>
    <w:hidden/>
    <w:unhideWhenUsed/>
    <w:qFormat/>
    <w:uiPriority w:val="99"/>
    <w:rPr>
      <w:rFonts w:ascii="Calibri" w:hAnsi="Calibri" w:eastAsia="宋体" w:cs="Times New Roman"/>
      <w:kern w:val="2"/>
      <w:sz w:val="21"/>
      <w:szCs w:val="21"/>
      <w:lang w:val="en-US" w:eastAsia="zh-CN" w:bidi="ar-SA"/>
    </w:rPr>
  </w:style>
  <w:style w:type="paragraph" w:customStyle="1" w:styleId="237">
    <w:name w:val="修订2"/>
    <w:hidden/>
    <w:unhideWhenUsed/>
    <w:uiPriority w:val="99"/>
    <w:rPr>
      <w:rFonts w:ascii="Calibri" w:hAnsi="Calibri" w:eastAsia="宋体" w:cs="Times New Roman"/>
      <w:kern w:val="2"/>
      <w:sz w:val="21"/>
      <w:szCs w:val="21"/>
      <w:lang w:val="en-US" w:eastAsia="zh-CN" w:bidi="ar-SA"/>
    </w:rPr>
  </w:style>
  <w:style w:type="character" w:customStyle="1" w:styleId="238">
    <w:name w:val="日期 字符"/>
    <w:basedOn w:val="32"/>
    <w:link w:val="17"/>
    <w:semiHidden/>
    <w:qFormat/>
    <w:uiPriority w:val="99"/>
    <w:rPr>
      <w:rFonts w:ascii="Calibri" w:hAnsi="Calibri"/>
      <w:kern w:val="2"/>
      <w:sz w:val="21"/>
      <w:szCs w:val="21"/>
    </w:rPr>
  </w:style>
  <w:style w:type="paragraph" w:customStyle="1" w:styleId="239">
    <w:name w:val="修订3"/>
    <w:hidden/>
    <w:unhideWhenUsed/>
    <w:qFormat/>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glossaryDocument" Target="glossary/document.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4.jpeg"/><Relationship Id="rId16" Type="http://schemas.openxmlformats.org/officeDocument/2006/relationships/image" Target="media/image3.emf"/><Relationship Id="rId15" Type="http://schemas.openxmlformats.org/officeDocument/2006/relationships/package" Target="embeddings/Microsoft_Visio___1.vsdx"/><Relationship Id="rId14" Type="http://schemas.openxmlformats.org/officeDocument/2006/relationships/image" Target="media/image2.tiff"/><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9E9848D1B8A4CFCB32632D92B166EEC"/>
        <w:style w:val=""/>
        <w:category>
          <w:name w:val="常规"/>
          <w:gallery w:val="placeholder"/>
        </w:category>
        <w:types>
          <w:type w:val="bbPlcHdr"/>
        </w:types>
        <w:behaviors>
          <w:behavior w:val="content"/>
        </w:behaviors>
        <w:description w:val=""/>
        <w:guid w:val="{542758F1-0298-4466-AB5E-D5370D542E57}"/>
      </w:docPartPr>
      <w:docPartBody>
        <w:p>
          <w:pPr>
            <w:pStyle w:val="5"/>
          </w:pPr>
          <w:r>
            <w:rPr>
              <w:rStyle w:val="4"/>
              <w:rFonts w:hint="eastAsia"/>
            </w:rPr>
            <w:t>单击或点击此处输入文字。</w:t>
          </w:r>
        </w:p>
      </w:docPartBody>
    </w:docPart>
    <w:docPart>
      <w:docPartPr>
        <w:name w:val="A8C161C3DB454220B90841C87920F122"/>
        <w:style w:val=""/>
        <w:category>
          <w:name w:val="常规"/>
          <w:gallery w:val="placeholder"/>
        </w:category>
        <w:types>
          <w:type w:val="bbPlcHdr"/>
        </w:types>
        <w:behaviors>
          <w:behavior w:val="content"/>
        </w:behaviors>
        <w:description w:val=""/>
        <w:guid w:val="{45B3EAEA-BFAF-43AF-AE96-7938B450172E}"/>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01"/>
    <w:rsid w:val="000065FA"/>
    <w:rsid w:val="00021B93"/>
    <w:rsid w:val="000513F0"/>
    <w:rsid w:val="00055237"/>
    <w:rsid w:val="000A5501"/>
    <w:rsid w:val="000C615E"/>
    <w:rsid w:val="000F5776"/>
    <w:rsid w:val="001056C2"/>
    <w:rsid w:val="00113ADA"/>
    <w:rsid w:val="00127B04"/>
    <w:rsid w:val="00154480"/>
    <w:rsid w:val="0015512F"/>
    <w:rsid w:val="00157DF9"/>
    <w:rsid w:val="001B4AB9"/>
    <w:rsid w:val="001B7F28"/>
    <w:rsid w:val="00216C10"/>
    <w:rsid w:val="0022485A"/>
    <w:rsid w:val="00281867"/>
    <w:rsid w:val="002D2C61"/>
    <w:rsid w:val="002D2F98"/>
    <w:rsid w:val="002F4D8F"/>
    <w:rsid w:val="003408B7"/>
    <w:rsid w:val="0039013F"/>
    <w:rsid w:val="00394B76"/>
    <w:rsid w:val="003960AB"/>
    <w:rsid w:val="003C263E"/>
    <w:rsid w:val="003D1FDC"/>
    <w:rsid w:val="003F2883"/>
    <w:rsid w:val="003F29CC"/>
    <w:rsid w:val="004246DA"/>
    <w:rsid w:val="00483D74"/>
    <w:rsid w:val="004C41FA"/>
    <w:rsid w:val="004C59F4"/>
    <w:rsid w:val="004C5A11"/>
    <w:rsid w:val="004D1239"/>
    <w:rsid w:val="004E237C"/>
    <w:rsid w:val="004F2D8A"/>
    <w:rsid w:val="004F5678"/>
    <w:rsid w:val="005158F7"/>
    <w:rsid w:val="005275A9"/>
    <w:rsid w:val="00555C43"/>
    <w:rsid w:val="00561AF7"/>
    <w:rsid w:val="00596038"/>
    <w:rsid w:val="005A496A"/>
    <w:rsid w:val="005D56CB"/>
    <w:rsid w:val="005E1764"/>
    <w:rsid w:val="006025E7"/>
    <w:rsid w:val="006054AC"/>
    <w:rsid w:val="00610CA4"/>
    <w:rsid w:val="006246F2"/>
    <w:rsid w:val="00650190"/>
    <w:rsid w:val="006551A8"/>
    <w:rsid w:val="00663665"/>
    <w:rsid w:val="0066381E"/>
    <w:rsid w:val="00666F02"/>
    <w:rsid w:val="00676684"/>
    <w:rsid w:val="006B7776"/>
    <w:rsid w:val="006D08A7"/>
    <w:rsid w:val="007106F4"/>
    <w:rsid w:val="00782874"/>
    <w:rsid w:val="007A4CD1"/>
    <w:rsid w:val="007C27EA"/>
    <w:rsid w:val="007D45BD"/>
    <w:rsid w:val="007E7D5B"/>
    <w:rsid w:val="008379DE"/>
    <w:rsid w:val="0085518B"/>
    <w:rsid w:val="00894D59"/>
    <w:rsid w:val="008C3621"/>
    <w:rsid w:val="008C6027"/>
    <w:rsid w:val="008E2C63"/>
    <w:rsid w:val="008F0CF8"/>
    <w:rsid w:val="008F2440"/>
    <w:rsid w:val="00911B7C"/>
    <w:rsid w:val="00921693"/>
    <w:rsid w:val="009315E6"/>
    <w:rsid w:val="00932E29"/>
    <w:rsid w:val="009436F0"/>
    <w:rsid w:val="00943D3F"/>
    <w:rsid w:val="00994D21"/>
    <w:rsid w:val="00996E1A"/>
    <w:rsid w:val="009A5DE0"/>
    <w:rsid w:val="009A72E8"/>
    <w:rsid w:val="009B64AE"/>
    <w:rsid w:val="00A002C9"/>
    <w:rsid w:val="00A041A1"/>
    <w:rsid w:val="00A15B3D"/>
    <w:rsid w:val="00A232F6"/>
    <w:rsid w:val="00A320AB"/>
    <w:rsid w:val="00A50C29"/>
    <w:rsid w:val="00A60882"/>
    <w:rsid w:val="00A7291F"/>
    <w:rsid w:val="00A73385"/>
    <w:rsid w:val="00A8336C"/>
    <w:rsid w:val="00A83EB6"/>
    <w:rsid w:val="00AB0598"/>
    <w:rsid w:val="00B00236"/>
    <w:rsid w:val="00B30B09"/>
    <w:rsid w:val="00B510D4"/>
    <w:rsid w:val="00B525AE"/>
    <w:rsid w:val="00B8672C"/>
    <w:rsid w:val="00C0504A"/>
    <w:rsid w:val="00C10968"/>
    <w:rsid w:val="00C5184E"/>
    <w:rsid w:val="00C53DA8"/>
    <w:rsid w:val="00C66058"/>
    <w:rsid w:val="00C66925"/>
    <w:rsid w:val="00CD252A"/>
    <w:rsid w:val="00CD5890"/>
    <w:rsid w:val="00CE229E"/>
    <w:rsid w:val="00CE42F9"/>
    <w:rsid w:val="00D108FF"/>
    <w:rsid w:val="00D279A3"/>
    <w:rsid w:val="00D341A1"/>
    <w:rsid w:val="00D65462"/>
    <w:rsid w:val="00D7188D"/>
    <w:rsid w:val="00D73A35"/>
    <w:rsid w:val="00D744E4"/>
    <w:rsid w:val="00D77095"/>
    <w:rsid w:val="00DB39B5"/>
    <w:rsid w:val="00DC06DB"/>
    <w:rsid w:val="00DC5C5C"/>
    <w:rsid w:val="00DD1DAB"/>
    <w:rsid w:val="00DD6A77"/>
    <w:rsid w:val="00E16678"/>
    <w:rsid w:val="00E37DAA"/>
    <w:rsid w:val="00E545E7"/>
    <w:rsid w:val="00E54E3E"/>
    <w:rsid w:val="00E56EBD"/>
    <w:rsid w:val="00E869FA"/>
    <w:rsid w:val="00EA58B0"/>
    <w:rsid w:val="00EE0B1D"/>
    <w:rsid w:val="00EF1992"/>
    <w:rsid w:val="00F070C2"/>
    <w:rsid w:val="00F113C8"/>
    <w:rsid w:val="00F24EAA"/>
    <w:rsid w:val="00FA0006"/>
    <w:rsid w:val="00FC4D2C"/>
    <w:rsid w:val="00FD04F3"/>
    <w:rsid w:val="00FE32A5"/>
    <w:rsid w:val="00FF0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F9E9848D1B8A4CFCB32632D92B166EE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A8C161C3DB454220B90841C87920F122"/>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49D125-F626-4431-B876-B66E7882A35A}">
  <ds:schemaRefs/>
</ds:datastoreItem>
</file>

<file path=docProps/app.xml><?xml version="1.0" encoding="utf-8"?>
<Properties xmlns="http://schemas.openxmlformats.org/officeDocument/2006/extended-properties" xmlns:vt="http://schemas.openxmlformats.org/officeDocument/2006/docPropsVTypes">
  <Template>国家标准.dotx</Template>
  <Company>PCMI</Company>
  <Pages>11</Pages>
  <Words>1531</Words>
  <Characters>8730</Characters>
  <Lines>72</Lines>
  <Paragraphs>20</Paragraphs>
  <TotalTime>404</TotalTime>
  <ScaleCrop>false</ScaleCrop>
  <LinksUpToDate>false</LinksUpToDate>
  <CharactersWithSpaces>10241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2023-11-17T01:55:00Z</dcterms:created>
  <dc:creator>龙尚松</dc:creator>
  <dc:description>&lt;config cover="true" show_menu="true" version="1.0.0" doctype="SDKXY"&gt;_x000d_
&lt;/config&gt;</dc:description>
  <cp:lastModifiedBy>金蕾</cp:lastModifiedBy>
  <cp:lastPrinted>2023-11-17T01:07:00Z</cp:lastPrinted>
  <dcterms:modified xsi:type="dcterms:W3CDTF">2023-11-24T07:29:28Z</dcterms:modified>
  <dc:title>国家标准</dc:title>
  <cp:revision>163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2052-12.1.0.15712</vt:lpwstr>
  </property>
  <property fmtid="{D5CDD505-2E9C-101B-9397-08002B2CF9AE}" pid="15" name="ICV">
    <vt:lpwstr>7FF04A6E074642A1AED01B8598BD4959_13</vt:lpwstr>
  </property>
</Properties>
</file>